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9D96" w14:textId="0A3373E7" w:rsidR="00F37435" w:rsidRPr="002C7324" w:rsidRDefault="00097A51" w:rsidP="002C7324">
      <w:pPr>
        <w:spacing w:after="0" w:line="240" w:lineRule="auto"/>
        <w:contextualSpacing/>
        <w:rPr>
          <w:rFonts w:cstheme="minorHAnsi"/>
        </w:rPr>
      </w:pPr>
      <w:r w:rsidRPr="002C7324">
        <w:rPr>
          <w:rFonts w:cstheme="minorHAnsi"/>
        </w:rPr>
        <w:t>OA 62</w:t>
      </w:r>
      <w:r w:rsidR="00446A04">
        <w:rPr>
          <w:rFonts w:cstheme="minorHAnsi"/>
        </w:rPr>
        <w:t>9</w:t>
      </w:r>
    </w:p>
    <w:p w14:paraId="7B5E4BB1" w14:textId="31AE1D07" w:rsidR="00097A51" w:rsidRPr="002C7324" w:rsidRDefault="00097A51" w:rsidP="002C7324">
      <w:pPr>
        <w:spacing w:after="0" w:line="240" w:lineRule="auto"/>
        <w:contextualSpacing/>
        <w:rPr>
          <w:rFonts w:cstheme="minorHAnsi"/>
        </w:rPr>
      </w:pPr>
    </w:p>
    <w:p w14:paraId="7F9C6916" w14:textId="4BEBD944" w:rsidR="00A37227" w:rsidRPr="002C7324" w:rsidRDefault="00A37227" w:rsidP="002C7324">
      <w:pPr>
        <w:spacing w:after="0" w:line="240" w:lineRule="auto"/>
        <w:contextualSpacing/>
        <w:rPr>
          <w:rFonts w:cstheme="minorHAnsi"/>
        </w:rPr>
      </w:pPr>
      <w:r w:rsidRPr="002C7324">
        <w:rPr>
          <w:rFonts w:cstheme="minorHAnsi"/>
        </w:rPr>
        <w:t>Pre-Show:  Mar-a-Lago?</w:t>
      </w:r>
    </w:p>
    <w:p w14:paraId="31FAE670" w14:textId="77777777" w:rsidR="00A37227" w:rsidRPr="002C7324" w:rsidRDefault="00A37227" w:rsidP="002C7324">
      <w:pPr>
        <w:spacing w:after="0" w:line="240" w:lineRule="auto"/>
        <w:contextualSpacing/>
        <w:rPr>
          <w:rFonts w:cstheme="minorHAnsi"/>
        </w:rPr>
      </w:pPr>
    </w:p>
    <w:p w14:paraId="7A72C601" w14:textId="1DED9B79" w:rsidR="00A70CBD" w:rsidRPr="002C7324" w:rsidRDefault="00A37227" w:rsidP="002C7324">
      <w:pPr>
        <w:pStyle w:val="ListParagraph"/>
        <w:numPr>
          <w:ilvl w:val="0"/>
          <w:numId w:val="2"/>
        </w:numPr>
        <w:spacing w:after="0" w:line="240" w:lineRule="auto"/>
        <w:rPr>
          <w:rFonts w:cstheme="minorHAnsi"/>
        </w:rPr>
      </w:pPr>
      <w:r w:rsidRPr="002C7324">
        <w:rPr>
          <w:rFonts w:cstheme="minorHAnsi"/>
        </w:rPr>
        <w:t>Updates</w:t>
      </w:r>
    </w:p>
    <w:p w14:paraId="1A70968A" w14:textId="6C4BF243" w:rsidR="00A37227" w:rsidRPr="002C7324" w:rsidRDefault="00A37227" w:rsidP="002C7324">
      <w:pPr>
        <w:spacing w:after="0" w:line="240" w:lineRule="auto"/>
        <w:contextualSpacing/>
        <w:rPr>
          <w:rFonts w:cstheme="minorHAnsi"/>
        </w:rPr>
      </w:pPr>
    </w:p>
    <w:p w14:paraId="3899F524" w14:textId="7D4DA008" w:rsidR="00A37227" w:rsidRPr="002C7324" w:rsidRDefault="00A37227" w:rsidP="002C7324">
      <w:pPr>
        <w:pStyle w:val="ListParagraph"/>
        <w:numPr>
          <w:ilvl w:val="0"/>
          <w:numId w:val="4"/>
        </w:numPr>
        <w:spacing w:after="0" w:line="240" w:lineRule="auto"/>
        <w:rPr>
          <w:rFonts w:cstheme="minorHAnsi"/>
        </w:rPr>
      </w:pPr>
      <w:r w:rsidRPr="002C7324">
        <w:rPr>
          <w:rFonts w:cstheme="minorHAnsi"/>
        </w:rPr>
        <w:t>Trump on Tuesday</w:t>
      </w:r>
    </w:p>
    <w:p w14:paraId="26015EF3" w14:textId="323BC14B" w:rsidR="00A37227" w:rsidRPr="002C7324" w:rsidRDefault="00A37227" w:rsidP="002C7324">
      <w:pPr>
        <w:spacing w:after="0" w:line="240" w:lineRule="auto"/>
        <w:contextualSpacing/>
        <w:rPr>
          <w:rFonts w:cstheme="minorHAnsi"/>
        </w:rPr>
      </w:pPr>
    </w:p>
    <w:p w14:paraId="1688184F" w14:textId="77777777" w:rsidR="00A37227" w:rsidRPr="002C7324" w:rsidRDefault="00A37227" w:rsidP="002C7324">
      <w:pPr>
        <w:spacing w:after="0" w:line="240" w:lineRule="auto"/>
        <w:contextualSpacing/>
        <w:rPr>
          <w:rFonts w:cstheme="minorHAnsi"/>
          <w:color w:val="000000"/>
        </w:rPr>
      </w:pPr>
      <w:r w:rsidRPr="002C7324">
        <w:rPr>
          <w:rFonts w:cstheme="minorHAnsi"/>
          <w:color w:val="000000"/>
        </w:rPr>
        <w:t>Trump - order entered, covered on Cleanup - candidates suggested on Friday - it's galling but not going to derail</w:t>
      </w:r>
    </w:p>
    <w:p w14:paraId="2E6D9795" w14:textId="28EF8DB2" w:rsidR="00A37227" w:rsidRPr="002C7324" w:rsidRDefault="00A37227" w:rsidP="002C7324">
      <w:pPr>
        <w:spacing w:after="0" w:line="240" w:lineRule="auto"/>
        <w:contextualSpacing/>
        <w:rPr>
          <w:rFonts w:cstheme="minorHAnsi"/>
          <w:color w:val="000000"/>
        </w:rPr>
      </w:pPr>
    </w:p>
    <w:p w14:paraId="05780D1B" w14:textId="77777777" w:rsidR="00576F89" w:rsidRPr="002C7324" w:rsidRDefault="00576F89" w:rsidP="002C7324">
      <w:pPr>
        <w:spacing w:after="0" w:line="240" w:lineRule="auto"/>
        <w:contextualSpacing/>
        <w:rPr>
          <w:rFonts w:cstheme="minorHAnsi"/>
          <w:color w:val="000000"/>
        </w:rPr>
      </w:pPr>
      <w:proofErr w:type="spellStart"/>
      <w:r w:rsidRPr="002C7324">
        <w:rPr>
          <w:rFonts w:cstheme="minorHAnsi"/>
          <w:color w:val="000000"/>
        </w:rPr>
        <w:t>Kel</w:t>
      </w:r>
      <w:proofErr w:type="spellEnd"/>
      <w:r w:rsidRPr="002C7324">
        <w:rPr>
          <w:rFonts w:cstheme="minorHAnsi"/>
          <w:color w:val="000000"/>
        </w:rPr>
        <w:t xml:space="preserve"> McClanahan, National Security Counselors</w:t>
      </w:r>
    </w:p>
    <w:p w14:paraId="091BAAE7" w14:textId="298DC7EE" w:rsidR="00576F89" w:rsidRPr="002C7324" w:rsidRDefault="00576F89" w:rsidP="002C7324">
      <w:pPr>
        <w:spacing w:after="0" w:line="240" w:lineRule="auto"/>
        <w:contextualSpacing/>
        <w:rPr>
          <w:rFonts w:cstheme="minorHAnsi"/>
          <w:color w:val="000000"/>
        </w:rPr>
      </w:pPr>
      <w:r w:rsidRPr="002C7324">
        <w:rPr>
          <w:rFonts w:cstheme="minorHAnsi"/>
          <w:color w:val="000000"/>
        </w:rPr>
        <w:t>2 paths:</w:t>
      </w:r>
    </w:p>
    <w:p w14:paraId="5AB7322D" w14:textId="0403F54B" w:rsidR="00A37227" w:rsidRPr="002C7324" w:rsidRDefault="00000000" w:rsidP="002C7324">
      <w:pPr>
        <w:spacing w:after="0" w:line="240" w:lineRule="auto"/>
        <w:contextualSpacing/>
        <w:rPr>
          <w:rFonts w:cstheme="minorHAnsi"/>
          <w:color w:val="000000"/>
        </w:rPr>
      </w:pPr>
      <w:hyperlink r:id="rId7" w:history="1">
        <w:r w:rsidR="00A37227" w:rsidRPr="002C7324">
          <w:rPr>
            <w:rStyle w:val="Hyperlink"/>
            <w:rFonts w:cstheme="minorHAnsi"/>
          </w:rPr>
          <w:t>https://lawandcrime.com/opinion/gaming-out-the-two-major-paths-forward-after-judge-grants-trumps-request-for-a-special-master-in-mar-a-lago-case/</w:t>
        </w:r>
      </w:hyperlink>
    </w:p>
    <w:p w14:paraId="5F46DE0F" w14:textId="2967EC9E" w:rsidR="00A37227" w:rsidRDefault="00A37227" w:rsidP="002C7324">
      <w:pPr>
        <w:spacing w:after="0" w:line="240" w:lineRule="auto"/>
        <w:contextualSpacing/>
        <w:rPr>
          <w:rFonts w:cstheme="minorHAnsi"/>
          <w:color w:val="000000"/>
        </w:rPr>
      </w:pPr>
    </w:p>
    <w:p w14:paraId="4538FF70" w14:textId="1AEEBB93" w:rsidR="00131798" w:rsidRDefault="006C2F25" w:rsidP="002C7324">
      <w:pPr>
        <w:spacing w:after="0" w:line="240" w:lineRule="auto"/>
        <w:contextualSpacing/>
        <w:rPr>
          <w:rFonts w:cstheme="minorHAnsi"/>
          <w:color w:val="000000"/>
        </w:rPr>
      </w:pPr>
      <w:r w:rsidRPr="002C7324">
        <w:rPr>
          <w:rFonts w:cstheme="minorHAnsi"/>
          <w:color w:val="000000"/>
        </w:rPr>
        <w:t>-makes an incredibly good point I haven’t seen els</w:t>
      </w:r>
      <w:r w:rsidR="00131798">
        <w:rPr>
          <w:rFonts w:cstheme="minorHAnsi"/>
          <w:color w:val="000000"/>
        </w:rPr>
        <w:t>ewhere</w:t>
      </w:r>
      <w:r w:rsidR="008C78DE">
        <w:rPr>
          <w:rFonts w:cstheme="minorHAnsi"/>
          <w:color w:val="000000"/>
        </w:rPr>
        <w:t>, and it’s based on this principle that I’ve talked about occasionally but probably not enough on the show in the age of Trump, which is: you can’t always immediately appeal everything.</w:t>
      </w:r>
      <w:r w:rsidR="00E90EC8">
        <w:rPr>
          <w:rFonts w:cstheme="minorHAnsi"/>
          <w:color w:val="000000"/>
        </w:rPr>
        <w:t xml:space="preserve"> Can you immediately appeal an order appointing a Special Master?  In most cases, </w:t>
      </w:r>
      <w:proofErr w:type="gramStart"/>
      <w:r w:rsidR="00E90EC8">
        <w:rPr>
          <w:rFonts w:cstheme="minorHAnsi"/>
          <w:color w:val="000000"/>
        </w:rPr>
        <w:t>absolutely not</w:t>
      </w:r>
      <w:proofErr w:type="gramEnd"/>
      <w:r w:rsidR="00E90EC8">
        <w:rPr>
          <w:rFonts w:cstheme="minorHAnsi"/>
          <w:color w:val="000000"/>
        </w:rPr>
        <w:t xml:space="preserve">.  Here – maybe?  </w:t>
      </w:r>
      <w:proofErr w:type="gramStart"/>
      <w:r w:rsidR="00E90EC8">
        <w:rPr>
          <w:rFonts w:cstheme="minorHAnsi"/>
          <w:color w:val="000000"/>
        </w:rPr>
        <w:t>So</w:t>
      </w:r>
      <w:proofErr w:type="gramEnd"/>
      <w:r w:rsidR="00E90EC8">
        <w:rPr>
          <w:rFonts w:cstheme="minorHAnsi"/>
          <w:color w:val="000000"/>
        </w:rPr>
        <w:t xml:space="preserve"> let’s look at the background law.</w:t>
      </w:r>
    </w:p>
    <w:p w14:paraId="6E4A9B41" w14:textId="3F330E3D" w:rsidR="008C78DE" w:rsidRDefault="008C78DE" w:rsidP="002C7324">
      <w:pPr>
        <w:spacing w:after="0" w:line="240" w:lineRule="auto"/>
        <w:contextualSpacing/>
        <w:rPr>
          <w:rFonts w:cstheme="minorHAnsi"/>
          <w:color w:val="000000"/>
        </w:rPr>
      </w:pPr>
    </w:p>
    <w:p w14:paraId="2D034A7B" w14:textId="68195410" w:rsidR="00AD37CB" w:rsidRDefault="008C78DE" w:rsidP="00AD37CB">
      <w:pPr>
        <w:spacing w:after="0" w:line="240" w:lineRule="auto"/>
        <w:contextualSpacing/>
        <w:rPr>
          <w:rFonts w:cstheme="minorHAnsi"/>
          <w:color w:val="000000"/>
        </w:rPr>
      </w:pPr>
      <w:r>
        <w:rPr>
          <w:rFonts w:cstheme="minorHAnsi"/>
          <w:color w:val="000000"/>
        </w:rPr>
        <w:t xml:space="preserve">Rule comes from a Supreme Court decision called </w:t>
      </w:r>
      <w:r w:rsidR="00AD37CB" w:rsidRPr="00AD37CB">
        <w:rPr>
          <w:rFonts w:cstheme="minorHAnsi"/>
          <w:i/>
          <w:iCs/>
          <w:color w:val="000000"/>
        </w:rPr>
        <w:t>Cohen v. Beneficial Indus. Loan Corp</w:t>
      </w:r>
      <w:r w:rsidR="00AD37CB" w:rsidRPr="00AD37CB">
        <w:rPr>
          <w:rFonts w:cstheme="minorHAnsi"/>
          <w:color w:val="000000"/>
        </w:rPr>
        <w:t>., 337 U.S. 541 (1949)</w:t>
      </w:r>
      <w:r w:rsidR="00AC1268">
        <w:rPr>
          <w:rFonts w:cstheme="minorHAnsi"/>
          <w:color w:val="000000"/>
        </w:rPr>
        <w:t xml:space="preserve">, which is that </w:t>
      </w:r>
      <w:proofErr w:type="gramStart"/>
      <w:r w:rsidR="00AC1268">
        <w:rPr>
          <w:rFonts w:cstheme="minorHAnsi"/>
          <w:color w:val="000000"/>
        </w:rPr>
        <w:t>a</w:t>
      </w:r>
      <w:r w:rsidR="00AD37CB" w:rsidRPr="00AD37CB">
        <w:rPr>
          <w:rFonts w:cstheme="minorHAnsi"/>
          <w:color w:val="000000"/>
        </w:rPr>
        <w:t>s a general rule</w:t>
      </w:r>
      <w:proofErr w:type="gramEnd"/>
      <w:r w:rsidR="00AD37CB" w:rsidRPr="00AD37CB">
        <w:rPr>
          <w:rFonts w:cstheme="minorHAnsi"/>
          <w:color w:val="000000"/>
        </w:rPr>
        <w:t>, only final judgements are appealable.</w:t>
      </w:r>
    </w:p>
    <w:p w14:paraId="12ECC4CE" w14:textId="58E82A75" w:rsidR="00AD37CB" w:rsidRDefault="00AD37CB" w:rsidP="00AD37CB">
      <w:pPr>
        <w:spacing w:after="0" w:line="240" w:lineRule="auto"/>
        <w:contextualSpacing/>
        <w:rPr>
          <w:rFonts w:cstheme="minorHAnsi"/>
          <w:color w:val="000000"/>
        </w:rPr>
      </w:pPr>
      <w:r>
        <w:rPr>
          <w:rFonts w:cstheme="minorHAnsi"/>
          <w:color w:val="000000"/>
        </w:rPr>
        <w:t>28 U.S.C. § 1291 (“</w:t>
      </w:r>
      <w:r w:rsidRPr="00AD37CB">
        <w:rPr>
          <w:rFonts w:cstheme="minorHAnsi"/>
          <w:color w:val="000000"/>
        </w:rPr>
        <w:t xml:space="preserve">The courts of appeals </w:t>
      </w:r>
      <w:r>
        <w:rPr>
          <w:rFonts w:cstheme="minorHAnsi"/>
          <w:color w:val="000000"/>
        </w:rPr>
        <w:t xml:space="preserve">… </w:t>
      </w:r>
      <w:r w:rsidRPr="00AD37CB">
        <w:rPr>
          <w:rFonts w:cstheme="minorHAnsi"/>
          <w:color w:val="000000"/>
        </w:rPr>
        <w:t>shall have jurisdiction of appeals from all final decisions of the district courts of the United States</w:t>
      </w:r>
      <w:r>
        <w:rPr>
          <w:rFonts w:cstheme="minorHAnsi"/>
          <w:color w:val="000000"/>
        </w:rPr>
        <w:t>.”)</w:t>
      </w:r>
    </w:p>
    <w:p w14:paraId="5DB1A384" w14:textId="02DAF711" w:rsidR="00AC1268" w:rsidRDefault="00AC1268" w:rsidP="00AD37CB">
      <w:pPr>
        <w:spacing w:after="0" w:line="240" w:lineRule="auto"/>
        <w:contextualSpacing/>
        <w:rPr>
          <w:rFonts w:cstheme="minorHAnsi"/>
          <w:color w:val="000000"/>
        </w:rPr>
      </w:pPr>
    </w:p>
    <w:p w14:paraId="2545012C" w14:textId="38B07251" w:rsidR="00AC1268" w:rsidRPr="00AC1268" w:rsidRDefault="00AC1268" w:rsidP="00AD37CB">
      <w:pPr>
        <w:spacing w:after="0" w:line="240" w:lineRule="auto"/>
        <w:contextualSpacing/>
        <w:rPr>
          <w:rFonts w:cstheme="minorHAnsi"/>
          <w:color w:val="000000"/>
        </w:rPr>
      </w:pPr>
      <w:r>
        <w:rPr>
          <w:rFonts w:cstheme="minorHAnsi"/>
          <w:b/>
          <w:bCs/>
          <w:color w:val="000000"/>
        </w:rPr>
        <w:t>I DON’T EVEN KNOW WHAT THAT WOULD MEAN HERE BECAUSE THERE ISN’T A COMPLAINT</w:t>
      </w:r>
      <w:r>
        <w:rPr>
          <w:rFonts w:cstheme="minorHAnsi"/>
          <w:color w:val="000000"/>
        </w:rPr>
        <w:t>, because this entire proceeding is complete nonsense. But usually that means resolution on the merits. And that makes total sense</w:t>
      </w:r>
    </w:p>
    <w:p w14:paraId="6B2D6F1C" w14:textId="77777777" w:rsidR="00AD37CB" w:rsidRDefault="00AD37CB" w:rsidP="00AD37CB">
      <w:pPr>
        <w:spacing w:after="0" w:line="240" w:lineRule="auto"/>
        <w:contextualSpacing/>
        <w:rPr>
          <w:rFonts w:cstheme="minorHAnsi"/>
          <w:color w:val="000000"/>
        </w:rPr>
      </w:pPr>
    </w:p>
    <w:p w14:paraId="2D209243" w14:textId="1C70652F" w:rsidR="00AD37CB" w:rsidRPr="00AD37CB" w:rsidRDefault="00AD37CB" w:rsidP="00AD37CB">
      <w:pPr>
        <w:spacing w:after="0" w:line="240" w:lineRule="auto"/>
        <w:contextualSpacing/>
        <w:rPr>
          <w:rFonts w:cstheme="minorHAnsi"/>
          <w:color w:val="000000"/>
        </w:rPr>
      </w:pPr>
      <w:r w:rsidRPr="00AD37CB">
        <w:rPr>
          <w:rFonts w:cstheme="minorHAnsi"/>
          <w:color w:val="000000"/>
        </w:rPr>
        <w:t xml:space="preserve">Nonetheless, as noted in Cohen v. Beneficial Loan Co., some interlocutory decisions act as final judgments to certain rights. Therefore, interlocutory decisions are appealable under the collateral order doctrine if they fulfill three conditions: </w:t>
      </w:r>
    </w:p>
    <w:p w14:paraId="5597DFB7" w14:textId="77777777" w:rsidR="00AD37CB" w:rsidRPr="00AD37CB" w:rsidRDefault="00AD37CB" w:rsidP="00AD37CB">
      <w:pPr>
        <w:spacing w:after="0" w:line="240" w:lineRule="auto"/>
        <w:contextualSpacing/>
        <w:rPr>
          <w:rFonts w:cstheme="minorHAnsi"/>
          <w:color w:val="000000"/>
        </w:rPr>
      </w:pPr>
    </w:p>
    <w:p w14:paraId="3E6E6558" w14:textId="77777777" w:rsidR="00AD37CB" w:rsidRPr="00AD37CB" w:rsidRDefault="00AD37CB" w:rsidP="00AD37CB">
      <w:pPr>
        <w:pStyle w:val="ListParagraph"/>
        <w:numPr>
          <w:ilvl w:val="0"/>
          <w:numId w:val="7"/>
        </w:numPr>
        <w:spacing w:after="0" w:line="240" w:lineRule="auto"/>
        <w:rPr>
          <w:rFonts w:cstheme="minorHAnsi"/>
          <w:color w:val="000000"/>
        </w:rPr>
      </w:pPr>
      <w:r w:rsidRPr="00AD37CB">
        <w:rPr>
          <w:rFonts w:cstheme="minorHAnsi"/>
          <w:color w:val="000000"/>
        </w:rPr>
        <w:t>The interlocutory decision conclusively determined the disputed question</w:t>
      </w:r>
    </w:p>
    <w:p w14:paraId="2C32B018" w14:textId="77777777" w:rsidR="00AD37CB" w:rsidRPr="00AD37CB" w:rsidRDefault="00AD37CB" w:rsidP="00AD37CB">
      <w:pPr>
        <w:pStyle w:val="ListParagraph"/>
        <w:numPr>
          <w:ilvl w:val="0"/>
          <w:numId w:val="7"/>
        </w:numPr>
        <w:spacing w:after="0" w:line="240" w:lineRule="auto"/>
        <w:rPr>
          <w:rFonts w:cstheme="minorHAnsi"/>
          <w:color w:val="000000"/>
        </w:rPr>
      </w:pPr>
      <w:r w:rsidRPr="00AD37CB">
        <w:rPr>
          <w:rFonts w:cstheme="minorHAnsi"/>
          <w:color w:val="000000"/>
        </w:rPr>
        <w:t>The disputed question is important and entirely separable from the merits of the action</w:t>
      </w:r>
    </w:p>
    <w:p w14:paraId="0D4BCDF7" w14:textId="2F9A5B5E" w:rsidR="008C78DE" w:rsidRPr="00AD37CB" w:rsidRDefault="00AD37CB" w:rsidP="00AD37CB">
      <w:pPr>
        <w:pStyle w:val="ListParagraph"/>
        <w:numPr>
          <w:ilvl w:val="0"/>
          <w:numId w:val="7"/>
        </w:numPr>
        <w:spacing w:after="0" w:line="240" w:lineRule="auto"/>
        <w:rPr>
          <w:rFonts w:cstheme="minorHAnsi"/>
          <w:color w:val="000000"/>
        </w:rPr>
      </w:pPr>
      <w:r w:rsidRPr="00AD37CB">
        <w:rPr>
          <w:rFonts w:cstheme="minorHAnsi"/>
          <w:color w:val="000000"/>
        </w:rPr>
        <w:t>The interlocutory decision is effectively unappealable after a final judgment is handed down</w:t>
      </w:r>
    </w:p>
    <w:p w14:paraId="0FE532A1" w14:textId="522B11E0" w:rsidR="008C78DE" w:rsidRDefault="008C78DE" w:rsidP="002C7324">
      <w:pPr>
        <w:spacing w:after="0" w:line="240" w:lineRule="auto"/>
        <w:contextualSpacing/>
        <w:rPr>
          <w:rFonts w:cstheme="minorHAnsi"/>
          <w:color w:val="000000"/>
        </w:rPr>
      </w:pPr>
    </w:p>
    <w:p w14:paraId="5959973D" w14:textId="72434862" w:rsidR="00AD37CB" w:rsidRDefault="00E90EC8" w:rsidP="002C7324">
      <w:pPr>
        <w:spacing w:after="0" w:line="240" w:lineRule="auto"/>
        <w:contextualSpacing/>
        <w:rPr>
          <w:rFonts w:cstheme="minorHAnsi"/>
          <w:color w:val="000000"/>
        </w:rPr>
      </w:pPr>
      <w:r>
        <w:rPr>
          <w:rFonts w:cstheme="minorHAnsi"/>
          <w:color w:val="000000"/>
        </w:rPr>
        <w:t>Today that’s codified at 12 U.S.C. § 1292(b)</w:t>
      </w:r>
    </w:p>
    <w:p w14:paraId="46B4AD7D" w14:textId="77777777" w:rsidR="00E90EC8" w:rsidRDefault="00000000" w:rsidP="00E90EC8">
      <w:pPr>
        <w:spacing w:after="0" w:line="240" w:lineRule="auto"/>
        <w:rPr>
          <w:rFonts w:cstheme="minorHAnsi"/>
          <w:color w:val="000000"/>
        </w:rPr>
      </w:pPr>
      <w:hyperlink r:id="rId8" w:history="1">
        <w:r w:rsidR="00E90EC8" w:rsidRPr="008B2C46">
          <w:rPr>
            <w:rStyle w:val="Hyperlink"/>
            <w:rFonts w:cstheme="minorHAnsi"/>
          </w:rPr>
          <w:t>https://www.law.cornell.edu/uscode/text/28/1292</w:t>
        </w:r>
      </w:hyperlink>
    </w:p>
    <w:p w14:paraId="1A3CDEED" w14:textId="1A8E85CE" w:rsidR="00E90EC8" w:rsidRDefault="00E90EC8" w:rsidP="002C7324">
      <w:pPr>
        <w:spacing w:after="0" w:line="240" w:lineRule="auto"/>
        <w:contextualSpacing/>
        <w:rPr>
          <w:rFonts w:cstheme="minorHAnsi"/>
          <w:color w:val="000000"/>
        </w:rPr>
      </w:pPr>
      <w:r w:rsidRPr="00E90EC8">
        <w:rPr>
          <w:rFonts w:cstheme="minorHAnsi"/>
          <w:color w:val="000000"/>
        </w:rPr>
        <w:t>(b)</w:t>
      </w:r>
      <w:r>
        <w:rPr>
          <w:rFonts w:cstheme="minorHAnsi"/>
          <w:color w:val="000000"/>
        </w:rPr>
        <w:t xml:space="preserve"> </w:t>
      </w:r>
      <w:r w:rsidRPr="00E90EC8">
        <w:rPr>
          <w:rFonts w:cstheme="minorHAnsi"/>
          <w:color w:val="000000"/>
        </w:rPr>
        <w:t xml:space="preserve">When a district judge, in making in a civil action an order not otherwise appealable under this section, shall be of the opinion that such order </w:t>
      </w:r>
      <w:r>
        <w:rPr>
          <w:rFonts w:cstheme="minorHAnsi"/>
          <w:color w:val="000000"/>
        </w:rPr>
        <w:t xml:space="preserve">[1] </w:t>
      </w:r>
      <w:r w:rsidRPr="00E90EC8">
        <w:rPr>
          <w:rFonts w:cstheme="minorHAnsi"/>
          <w:color w:val="000000"/>
        </w:rPr>
        <w:t xml:space="preserve">involves a controlling question of law </w:t>
      </w:r>
      <w:r>
        <w:rPr>
          <w:rFonts w:cstheme="minorHAnsi"/>
          <w:color w:val="000000"/>
        </w:rPr>
        <w:t xml:space="preserve">[2] </w:t>
      </w:r>
      <w:r w:rsidRPr="00E90EC8">
        <w:rPr>
          <w:rFonts w:cstheme="minorHAnsi"/>
          <w:color w:val="000000"/>
        </w:rPr>
        <w:t xml:space="preserve">as to which there is substantial ground for difference of opinion and </w:t>
      </w:r>
      <w:r>
        <w:rPr>
          <w:rFonts w:cstheme="minorHAnsi"/>
          <w:color w:val="000000"/>
        </w:rPr>
        <w:t xml:space="preserve">[3] </w:t>
      </w:r>
      <w:r w:rsidRPr="00E90EC8">
        <w:rPr>
          <w:rFonts w:cstheme="minorHAnsi"/>
          <w:color w:val="000000"/>
        </w:rPr>
        <w:t>that an immediate appeal from the order may materially advance the ultimate termination of the litigation, he shall so state in writing in such order. The Court of Appeals which would have jurisdiction of an appeal of such action may thereupon, in its discretion, permit an appeal to be taken from such order, if application is made to it within ten days after the entry of the order</w:t>
      </w:r>
    </w:p>
    <w:p w14:paraId="37F18A01" w14:textId="68AFE52F" w:rsidR="008C78DE" w:rsidRDefault="008C78DE" w:rsidP="002C7324">
      <w:pPr>
        <w:spacing w:after="0" w:line="240" w:lineRule="auto"/>
        <w:contextualSpacing/>
        <w:rPr>
          <w:rFonts w:cstheme="minorHAnsi"/>
          <w:color w:val="000000"/>
        </w:rPr>
      </w:pPr>
    </w:p>
    <w:p w14:paraId="20AE591B" w14:textId="77777777" w:rsidR="00903233" w:rsidRDefault="00E90EC8" w:rsidP="002C7324">
      <w:pPr>
        <w:spacing w:after="0" w:line="240" w:lineRule="auto"/>
        <w:contextualSpacing/>
        <w:rPr>
          <w:rFonts w:cstheme="minorHAnsi"/>
          <w:color w:val="000000"/>
        </w:rPr>
      </w:pPr>
      <w:r>
        <w:rPr>
          <w:rFonts w:cstheme="minorHAnsi"/>
          <w:b/>
          <w:bCs/>
          <w:color w:val="000000"/>
        </w:rPr>
        <w:lastRenderedPageBreak/>
        <w:t xml:space="preserve">The district court judge gets to decide if it’s interlocutory! </w:t>
      </w:r>
      <w:r>
        <w:rPr>
          <w:rFonts w:cstheme="minorHAnsi"/>
          <w:color w:val="000000"/>
        </w:rPr>
        <w:t>Now, any fair judge would agree that</w:t>
      </w:r>
      <w:r w:rsidR="00903233">
        <w:rPr>
          <w:rFonts w:cstheme="minorHAnsi"/>
          <w:color w:val="000000"/>
        </w:rPr>
        <w:t xml:space="preserve"> her order almost certainly meets those criteria, but if Judge Cannon, FSW, were a fair judge we wouldn’t be here.</w:t>
      </w:r>
    </w:p>
    <w:p w14:paraId="37C35C4A" w14:textId="77777777" w:rsidR="00903233" w:rsidRDefault="00903233" w:rsidP="002C7324">
      <w:pPr>
        <w:spacing w:after="0" w:line="240" w:lineRule="auto"/>
        <w:contextualSpacing/>
        <w:rPr>
          <w:rFonts w:cstheme="minorHAnsi"/>
          <w:color w:val="000000"/>
        </w:rPr>
      </w:pPr>
    </w:p>
    <w:p w14:paraId="1FAB4410" w14:textId="77777777" w:rsidR="00390AE6" w:rsidRDefault="00903233" w:rsidP="002C7324">
      <w:pPr>
        <w:spacing w:after="0" w:line="240" w:lineRule="auto"/>
        <w:contextualSpacing/>
        <w:rPr>
          <w:rFonts w:cstheme="minorHAnsi"/>
          <w:color w:val="000000"/>
        </w:rPr>
      </w:pPr>
      <w:proofErr w:type="gramStart"/>
      <w:r>
        <w:rPr>
          <w:rFonts w:cstheme="minorHAnsi"/>
          <w:color w:val="000000"/>
        </w:rPr>
        <w:t>So</w:t>
      </w:r>
      <w:proofErr w:type="gramEnd"/>
      <w:r>
        <w:rPr>
          <w:rFonts w:cstheme="minorHAnsi"/>
          <w:color w:val="000000"/>
        </w:rPr>
        <w:t xml:space="preserve"> here’s the brilliance of how the DOJ litigated this</w:t>
      </w:r>
      <w:r w:rsidR="00390AE6">
        <w:rPr>
          <w:rFonts w:cstheme="minorHAnsi"/>
          <w:color w:val="000000"/>
        </w:rPr>
        <w:t xml:space="preserve">, h/t to </w:t>
      </w:r>
      <w:proofErr w:type="spellStart"/>
      <w:r w:rsidR="00390AE6">
        <w:rPr>
          <w:rFonts w:cstheme="minorHAnsi"/>
          <w:color w:val="000000"/>
        </w:rPr>
        <w:t>Kel</w:t>
      </w:r>
      <w:proofErr w:type="spellEnd"/>
    </w:p>
    <w:p w14:paraId="132FC845" w14:textId="34009C8B" w:rsidR="00390AE6" w:rsidRDefault="00000000" w:rsidP="002C7324">
      <w:pPr>
        <w:spacing w:after="0" w:line="240" w:lineRule="auto"/>
        <w:contextualSpacing/>
        <w:rPr>
          <w:rFonts w:cstheme="minorHAnsi"/>
          <w:color w:val="000000"/>
        </w:rPr>
      </w:pPr>
      <w:hyperlink r:id="rId9" w:history="1">
        <w:r w:rsidR="00390AE6" w:rsidRPr="00470BE8">
          <w:rPr>
            <w:rStyle w:val="Hyperlink"/>
            <w:rFonts w:cstheme="minorHAnsi"/>
          </w:rPr>
          <w:t>https://lawandcrime.com/opinion/gaming-out-the-two-major-paths-forward-after-judge-grants-trumps-request-for-a-special-master-in-mar-a-lago-case/</w:t>
        </w:r>
      </w:hyperlink>
    </w:p>
    <w:p w14:paraId="3EF82280" w14:textId="1270F9E7" w:rsidR="00E90EC8" w:rsidRDefault="00E90EC8" w:rsidP="002C7324">
      <w:pPr>
        <w:spacing w:after="0" w:line="240" w:lineRule="auto"/>
        <w:contextualSpacing/>
        <w:rPr>
          <w:rFonts w:cstheme="minorHAnsi"/>
          <w:color w:val="000000"/>
        </w:rPr>
      </w:pPr>
      <w:r>
        <w:rPr>
          <w:rFonts w:cstheme="minorHAnsi"/>
          <w:color w:val="000000"/>
        </w:rPr>
        <w:t xml:space="preserve"> </w:t>
      </w:r>
    </w:p>
    <w:p w14:paraId="3BAEC822" w14:textId="18DD83CA" w:rsidR="00702EEE" w:rsidRPr="00702EEE" w:rsidRDefault="00702EEE" w:rsidP="00702EEE">
      <w:pPr>
        <w:pStyle w:val="ListParagraph"/>
        <w:numPr>
          <w:ilvl w:val="0"/>
          <w:numId w:val="6"/>
        </w:numPr>
        <w:spacing w:after="0" w:line="240" w:lineRule="auto"/>
        <w:rPr>
          <w:rFonts w:cstheme="minorHAnsi"/>
          <w:color w:val="000000"/>
        </w:rPr>
      </w:pPr>
      <w:r w:rsidRPr="00702EEE">
        <w:rPr>
          <w:rFonts w:cstheme="minorHAnsi"/>
          <w:color w:val="000000"/>
        </w:rPr>
        <w:t xml:space="preserve">because Judge Cannon is just making stuff up, the DOJ pinned her down that she was granting </w:t>
      </w:r>
      <w:r w:rsidRPr="00903233">
        <w:rPr>
          <w:rFonts w:cstheme="minorHAnsi"/>
          <w:color w:val="000000"/>
          <w:u w:val="single"/>
        </w:rPr>
        <w:t>injunctive</w:t>
      </w:r>
      <w:r w:rsidRPr="00702EEE">
        <w:rPr>
          <w:rFonts w:cstheme="minorHAnsi"/>
          <w:color w:val="000000"/>
        </w:rPr>
        <w:t xml:space="preserve"> relief under FRCP 65</w:t>
      </w:r>
      <w:r w:rsidR="00903233">
        <w:rPr>
          <w:rFonts w:cstheme="minorHAnsi"/>
          <w:color w:val="000000"/>
        </w:rPr>
        <w:t xml:space="preserve"> &amp; that’s what the order says</w:t>
      </w:r>
    </w:p>
    <w:p w14:paraId="071FBD65" w14:textId="1D0F8F26" w:rsidR="00702EEE" w:rsidRDefault="00702EEE" w:rsidP="00702EEE">
      <w:pPr>
        <w:pStyle w:val="ListParagraph"/>
        <w:numPr>
          <w:ilvl w:val="0"/>
          <w:numId w:val="6"/>
        </w:numPr>
        <w:spacing w:after="0" w:line="240" w:lineRule="auto"/>
        <w:rPr>
          <w:rFonts w:cstheme="minorHAnsi"/>
          <w:color w:val="000000"/>
        </w:rPr>
      </w:pPr>
      <w:r>
        <w:rPr>
          <w:rFonts w:cstheme="minorHAnsi"/>
          <w:color w:val="000000"/>
        </w:rPr>
        <w:t>that triggers 28 U.S.C. § 1292</w:t>
      </w:r>
      <w:r w:rsidR="00903233">
        <w:rPr>
          <w:rFonts w:cstheme="minorHAnsi"/>
          <w:color w:val="000000"/>
        </w:rPr>
        <w:t>(a)</w:t>
      </w:r>
    </w:p>
    <w:p w14:paraId="7DE4DA99" w14:textId="77777777" w:rsidR="00903233" w:rsidRDefault="00903233" w:rsidP="00702EEE">
      <w:pPr>
        <w:spacing w:after="0" w:line="240" w:lineRule="auto"/>
        <w:rPr>
          <w:rFonts w:cstheme="minorHAnsi"/>
          <w:color w:val="000000"/>
        </w:rPr>
      </w:pPr>
    </w:p>
    <w:p w14:paraId="299056BA" w14:textId="0242D70B" w:rsidR="00702EEE" w:rsidRDefault="00000000" w:rsidP="00702EEE">
      <w:pPr>
        <w:spacing w:after="0" w:line="240" w:lineRule="auto"/>
        <w:rPr>
          <w:rFonts w:cstheme="minorHAnsi"/>
          <w:color w:val="000000"/>
        </w:rPr>
      </w:pPr>
      <w:hyperlink r:id="rId10" w:history="1">
        <w:r w:rsidR="00903233" w:rsidRPr="00470BE8">
          <w:rPr>
            <w:rStyle w:val="Hyperlink"/>
            <w:rFonts w:cstheme="minorHAnsi"/>
          </w:rPr>
          <w:t>https://www.law.cornell.edu/uscode/text/28/1292</w:t>
        </w:r>
      </w:hyperlink>
    </w:p>
    <w:p w14:paraId="782FAE9A" w14:textId="353205E9" w:rsidR="007C695B" w:rsidRPr="007C695B" w:rsidRDefault="007C695B" w:rsidP="007C695B">
      <w:pPr>
        <w:spacing w:after="0" w:line="240" w:lineRule="auto"/>
        <w:rPr>
          <w:rFonts w:cstheme="minorHAnsi"/>
          <w:color w:val="000000"/>
        </w:rPr>
      </w:pPr>
      <w:r w:rsidRPr="007C695B">
        <w:rPr>
          <w:rFonts w:cstheme="minorHAnsi"/>
          <w:b/>
          <w:bCs/>
          <w:color w:val="000000"/>
        </w:rPr>
        <w:t>(a)</w:t>
      </w:r>
      <w:r w:rsidR="00903233">
        <w:rPr>
          <w:rFonts w:cstheme="minorHAnsi"/>
          <w:b/>
          <w:bCs/>
          <w:color w:val="000000"/>
        </w:rPr>
        <w:t xml:space="preserve"> </w:t>
      </w:r>
      <w:r w:rsidRPr="007C695B">
        <w:rPr>
          <w:rFonts w:cstheme="minorHAnsi"/>
          <w:color w:val="000000"/>
        </w:rPr>
        <w:t xml:space="preserve">Except as provided in subsections (c) and (d) of this section, </w:t>
      </w:r>
      <w:r w:rsidRPr="007C695B">
        <w:rPr>
          <w:rFonts w:cstheme="minorHAnsi"/>
          <w:b/>
          <w:bCs/>
          <w:color w:val="000000"/>
        </w:rPr>
        <w:t>the courts of appeals shall have jurisdiction of appeals from:</w:t>
      </w:r>
      <w:bookmarkStart w:id="0" w:name="a_1"/>
      <w:bookmarkEnd w:id="0"/>
      <w:r w:rsidR="00903233" w:rsidRPr="00903233">
        <w:rPr>
          <w:rFonts w:cstheme="minorHAnsi"/>
          <w:b/>
          <w:bCs/>
          <w:color w:val="000000"/>
        </w:rPr>
        <w:t xml:space="preserve"> </w:t>
      </w:r>
      <w:r w:rsidRPr="007C695B">
        <w:rPr>
          <w:rFonts w:cstheme="minorHAnsi"/>
          <w:b/>
          <w:bCs/>
          <w:color w:val="000000"/>
        </w:rPr>
        <w:t>(1)</w:t>
      </w:r>
      <w:r w:rsidR="00903233" w:rsidRPr="00903233">
        <w:rPr>
          <w:rFonts w:cstheme="minorHAnsi"/>
          <w:b/>
          <w:bCs/>
          <w:color w:val="000000"/>
        </w:rPr>
        <w:t xml:space="preserve"> </w:t>
      </w:r>
      <w:r w:rsidRPr="007C695B">
        <w:rPr>
          <w:rFonts w:cstheme="minorHAnsi"/>
          <w:b/>
          <w:bCs/>
          <w:color w:val="000000"/>
        </w:rPr>
        <w:t>Interlocutory orders of the district courts of the United States</w:t>
      </w:r>
      <w:r w:rsidRPr="007C695B">
        <w:rPr>
          <w:rFonts w:cstheme="minorHAnsi"/>
          <w:color w:val="000000"/>
        </w:rPr>
        <w:t xml:space="preserve">, the United States District Court for the District of the Canal Zone, the District Court of Guam, and the District Court of the Virgin Islands, or of the judges thereof, </w:t>
      </w:r>
      <w:r w:rsidRPr="007C695B">
        <w:rPr>
          <w:rFonts w:cstheme="minorHAnsi"/>
          <w:b/>
          <w:bCs/>
          <w:color w:val="000000"/>
        </w:rPr>
        <w:t>granting, continuing, modifying, refusing or dissolving injunctions</w:t>
      </w:r>
      <w:r w:rsidRPr="007C695B">
        <w:rPr>
          <w:rFonts w:cstheme="minorHAnsi"/>
          <w:color w:val="000000"/>
        </w:rPr>
        <w:t>, or refusing to dissolve or modify injunctions, except where a direct review may be had in the Supreme Court;</w:t>
      </w:r>
    </w:p>
    <w:p w14:paraId="63BCD4DC" w14:textId="77777777" w:rsidR="00702EEE" w:rsidRDefault="00702EEE" w:rsidP="00702EEE">
      <w:pPr>
        <w:spacing w:after="0" w:line="240" w:lineRule="auto"/>
        <w:rPr>
          <w:rFonts w:cstheme="minorHAnsi"/>
          <w:color w:val="000000"/>
        </w:rPr>
      </w:pPr>
    </w:p>
    <w:p w14:paraId="39D63E91" w14:textId="74A5B2DC" w:rsidR="00702EEE" w:rsidRPr="00702EEE" w:rsidRDefault="00903233" w:rsidP="00702EEE">
      <w:pPr>
        <w:spacing w:after="0" w:line="240" w:lineRule="auto"/>
        <w:rPr>
          <w:rFonts w:cstheme="minorHAnsi"/>
          <w:color w:val="000000"/>
        </w:rPr>
      </w:pPr>
      <w:proofErr w:type="gramStart"/>
      <w:r>
        <w:rPr>
          <w:rFonts w:cstheme="minorHAnsi"/>
          <w:color w:val="000000"/>
        </w:rPr>
        <w:t>So</w:t>
      </w:r>
      <w:proofErr w:type="gramEnd"/>
      <w:r>
        <w:rPr>
          <w:rFonts w:cstheme="minorHAnsi"/>
          <w:color w:val="000000"/>
        </w:rPr>
        <w:t xml:space="preserve"> the DOJ can immediately appeal, or they can take their lumps and work with it.</w:t>
      </w:r>
    </w:p>
    <w:p w14:paraId="0286D090" w14:textId="50421EAE" w:rsidR="006C2F25" w:rsidRDefault="006C2F25" w:rsidP="002C7324">
      <w:pPr>
        <w:spacing w:after="0" w:line="240" w:lineRule="auto"/>
        <w:contextualSpacing/>
        <w:rPr>
          <w:rFonts w:cstheme="minorHAnsi"/>
          <w:color w:val="000000"/>
        </w:rPr>
      </w:pPr>
    </w:p>
    <w:p w14:paraId="139FD693" w14:textId="77777777" w:rsidR="00390AE6" w:rsidRDefault="00390AE6" w:rsidP="002C7324">
      <w:pPr>
        <w:spacing w:after="0" w:line="240" w:lineRule="auto"/>
        <w:contextualSpacing/>
        <w:rPr>
          <w:rFonts w:cstheme="minorHAnsi"/>
          <w:color w:val="000000"/>
        </w:rPr>
      </w:pPr>
    </w:p>
    <w:p w14:paraId="5CECB74F" w14:textId="351FEA9B" w:rsidR="00A37227" w:rsidRPr="002C7324" w:rsidRDefault="00A37227" w:rsidP="002C7324">
      <w:pPr>
        <w:pStyle w:val="ListParagraph"/>
        <w:numPr>
          <w:ilvl w:val="0"/>
          <w:numId w:val="4"/>
        </w:numPr>
        <w:spacing w:after="0" w:line="240" w:lineRule="auto"/>
        <w:rPr>
          <w:rFonts w:cstheme="minorHAnsi"/>
        </w:rPr>
      </w:pPr>
      <w:r w:rsidRPr="002C7324">
        <w:rPr>
          <w:rFonts w:cstheme="minorHAnsi"/>
        </w:rPr>
        <w:t>More info on Alaska RCV</w:t>
      </w:r>
    </w:p>
    <w:p w14:paraId="7E659EAA" w14:textId="7CD1579E" w:rsidR="00A37227" w:rsidRPr="002C7324" w:rsidRDefault="00A37227" w:rsidP="002C7324">
      <w:pPr>
        <w:pStyle w:val="ListParagraph"/>
        <w:numPr>
          <w:ilvl w:val="0"/>
          <w:numId w:val="5"/>
        </w:numPr>
        <w:spacing w:after="0" w:line="240" w:lineRule="auto"/>
        <w:rPr>
          <w:rFonts w:cstheme="minorHAnsi"/>
        </w:rPr>
      </w:pPr>
      <w:r w:rsidRPr="002C7324">
        <w:rPr>
          <w:rFonts w:cstheme="minorHAnsi"/>
        </w:rPr>
        <w:t>Brianna Tittle on FB:</w:t>
      </w:r>
    </w:p>
    <w:p w14:paraId="37A9F4B0" w14:textId="541D7E68" w:rsidR="00A37227" w:rsidRPr="002C7324" w:rsidRDefault="00A37227" w:rsidP="002C7324">
      <w:pPr>
        <w:spacing w:after="0" w:line="240" w:lineRule="auto"/>
        <w:contextualSpacing/>
        <w:rPr>
          <w:rFonts w:cstheme="minorHAnsi"/>
        </w:rPr>
      </w:pPr>
    </w:p>
    <w:p w14:paraId="5E8F3B58" w14:textId="77777777" w:rsidR="00A37227" w:rsidRPr="002C7324" w:rsidRDefault="00A37227" w:rsidP="002C7324">
      <w:pPr>
        <w:spacing w:after="0" w:line="240" w:lineRule="auto"/>
        <w:contextualSpacing/>
        <w:rPr>
          <w:rFonts w:cstheme="minorHAnsi"/>
          <w:color w:val="000000"/>
        </w:rPr>
      </w:pPr>
      <w:r w:rsidRPr="002C7324">
        <w:rPr>
          <w:rFonts w:cstheme="minorHAnsi"/>
          <w:color w:val="000000"/>
        </w:rPr>
        <w:t xml:space="preserve">The two Alaska Native women Al Gross referenced when he dropped out were </w:t>
      </w:r>
      <w:proofErr w:type="spellStart"/>
      <w:r w:rsidRPr="002C7324">
        <w:rPr>
          <w:rFonts w:cstheme="minorHAnsi"/>
          <w:color w:val="000000"/>
        </w:rPr>
        <w:t>Peltola</w:t>
      </w:r>
      <w:proofErr w:type="spellEnd"/>
      <w:r w:rsidRPr="002C7324">
        <w:rPr>
          <w:rFonts w:cstheme="minorHAnsi"/>
          <w:color w:val="000000"/>
        </w:rPr>
        <w:t xml:space="preserve"> and fifth place, Tara Sweeney. Because Tara didn't move up, there was only one indigenous woman in the running. </w:t>
      </w:r>
      <w:proofErr w:type="gramStart"/>
      <w:r w:rsidRPr="002C7324">
        <w:rPr>
          <w:rFonts w:cstheme="minorHAnsi"/>
          <w:color w:val="000000"/>
        </w:rPr>
        <w:t>Also</w:t>
      </w:r>
      <w:proofErr w:type="gramEnd"/>
      <w:r w:rsidRPr="002C7324">
        <w:rPr>
          <w:rFonts w:cstheme="minorHAnsi"/>
          <w:color w:val="000000"/>
        </w:rPr>
        <w:t xml:space="preserve"> marginally fun fact - Don Young grabbed and flipped that seat in a special election when Nick Begich's dad (Rep. Nick Begich Sr.) died in a plane crash. </w:t>
      </w:r>
      <w:proofErr w:type="gramStart"/>
      <w:r w:rsidRPr="002C7324">
        <w:rPr>
          <w:rFonts w:cstheme="minorHAnsi"/>
          <w:color w:val="000000"/>
        </w:rPr>
        <w:t>So</w:t>
      </w:r>
      <w:proofErr w:type="gramEnd"/>
      <w:r w:rsidRPr="002C7324">
        <w:rPr>
          <w:rFonts w:cstheme="minorHAnsi"/>
          <w:color w:val="000000"/>
        </w:rPr>
        <w:t xml:space="preserve"> there's hope Mary will hold onto it for a while!</w:t>
      </w:r>
    </w:p>
    <w:p w14:paraId="0210A884" w14:textId="77777777" w:rsidR="00A37227" w:rsidRPr="002C7324" w:rsidRDefault="00A37227" w:rsidP="002C7324">
      <w:pPr>
        <w:spacing w:after="0" w:line="240" w:lineRule="auto"/>
        <w:contextualSpacing/>
        <w:rPr>
          <w:rFonts w:cstheme="minorHAnsi"/>
        </w:rPr>
      </w:pPr>
    </w:p>
    <w:p w14:paraId="30D52DD2" w14:textId="17CBE47F" w:rsidR="00A37227" w:rsidRPr="002C7324" w:rsidRDefault="002C7324" w:rsidP="002C7324">
      <w:pPr>
        <w:pStyle w:val="ListParagraph"/>
        <w:numPr>
          <w:ilvl w:val="0"/>
          <w:numId w:val="5"/>
        </w:numPr>
        <w:spacing w:after="0" w:line="240" w:lineRule="auto"/>
        <w:rPr>
          <w:rFonts w:cstheme="minorHAnsi"/>
        </w:rPr>
      </w:pPr>
      <w:r w:rsidRPr="002C7324">
        <w:rPr>
          <w:rFonts w:cstheme="minorHAnsi"/>
        </w:rPr>
        <w:t>Chris Kiser</w:t>
      </w:r>
    </w:p>
    <w:p w14:paraId="0DC7FF2F" w14:textId="2753C684" w:rsidR="00A37227" w:rsidRPr="002C7324" w:rsidRDefault="00A37227" w:rsidP="002C7324">
      <w:pPr>
        <w:spacing w:after="0" w:line="240" w:lineRule="auto"/>
        <w:contextualSpacing/>
        <w:rPr>
          <w:rFonts w:cstheme="minorHAnsi"/>
        </w:rPr>
      </w:pPr>
    </w:p>
    <w:p w14:paraId="7F61D507" w14:textId="77777777" w:rsidR="002C7324" w:rsidRPr="002C7324" w:rsidRDefault="002C7324" w:rsidP="002C7324">
      <w:pPr>
        <w:spacing w:after="0" w:line="240" w:lineRule="auto"/>
        <w:contextualSpacing/>
        <w:rPr>
          <w:rFonts w:eastAsia="Times New Roman" w:cstheme="minorHAnsi"/>
          <w:color w:val="222222"/>
        </w:rPr>
      </w:pPr>
      <w:r w:rsidRPr="002C7324">
        <w:rPr>
          <w:rFonts w:eastAsia="Times New Roman" w:cstheme="minorHAnsi"/>
          <w:color w:val="222222"/>
        </w:rPr>
        <w:t xml:space="preserve">1) overvotes invalidate a ballot when counting the round of the overvote. </w:t>
      </w:r>
      <w:proofErr w:type="gramStart"/>
      <w:r w:rsidRPr="002C7324">
        <w:rPr>
          <w:rFonts w:eastAsia="Times New Roman" w:cstheme="minorHAnsi"/>
          <w:color w:val="222222"/>
        </w:rPr>
        <w:t>So</w:t>
      </w:r>
      <w:proofErr w:type="gramEnd"/>
      <w:r w:rsidRPr="002C7324">
        <w:rPr>
          <w:rFonts w:eastAsia="Times New Roman" w:cstheme="minorHAnsi"/>
          <w:color w:val="222222"/>
        </w:rPr>
        <w:t xml:space="preserve"> a ballot ranking 1 candidate first and 2 candidates second will only be invalidated if the 1st rank candidate is defeated. </w:t>
      </w:r>
      <w:proofErr w:type="gramStart"/>
      <w:r w:rsidRPr="002C7324">
        <w:rPr>
          <w:rFonts w:eastAsia="Times New Roman" w:cstheme="minorHAnsi"/>
          <w:color w:val="222222"/>
        </w:rPr>
        <w:t>This is why</w:t>
      </w:r>
      <w:proofErr w:type="gramEnd"/>
      <w:r w:rsidRPr="002C7324">
        <w:rPr>
          <w:rFonts w:eastAsia="Times New Roman" w:cstheme="minorHAnsi"/>
          <w:color w:val="222222"/>
        </w:rPr>
        <w:t xml:space="preserve"> the election results have a row for overvotes when tabulating redistributed ballots.</w:t>
      </w:r>
    </w:p>
    <w:p w14:paraId="67365E9C" w14:textId="77777777" w:rsidR="002C7324" w:rsidRPr="002C7324" w:rsidRDefault="002C7324" w:rsidP="002C7324">
      <w:pPr>
        <w:spacing w:after="0" w:line="240" w:lineRule="auto"/>
        <w:contextualSpacing/>
        <w:rPr>
          <w:rFonts w:eastAsia="Times New Roman" w:cstheme="minorHAnsi"/>
          <w:color w:val="222222"/>
        </w:rPr>
      </w:pPr>
    </w:p>
    <w:p w14:paraId="2BD86442" w14:textId="77777777" w:rsidR="002C7324" w:rsidRPr="002C7324" w:rsidRDefault="002C7324" w:rsidP="002C7324">
      <w:pPr>
        <w:spacing w:after="0" w:line="240" w:lineRule="auto"/>
        <w:contextualSpacing/>
        <w:rPr>
          <w:rFonts w:eastAsia="Times New Roman" w:cstheme="minorHAnsi"/>
          <w:color w:val="222222"/>
        </w:rPr>
      </w:pPr>
      <w:r w:rsidRPr="002C7324">
        <w:rPr>
          <w:rFonts w:eastAsia="Times New Roman" w:cstheme="minorHAnsi"/>
          <w:color w:val="222222"/>
        </w:rPr>
        <w:t>2) There is a write-in box on the ballot for every election. Al Gross dropping out did not add a write-in box.</w:t>
      </w:r>
    </w:p>
    <w:p w14:paraId="32E57204" w14:textId="77777777" w:rsidR="00A37227" w:rsidRPr="002C7324" w:rsidRDefault="00A37227" w:rsidP="002C7324">
      <w:pPr>
        <w:spacing w:after="0" w:line="240" w:lineRule="auto"/>
        <w:contextualSpacing/>
        <w:rPr>
          <w:rFonts w:cstheme="minorHAnsi"/>
        </w:rPr>
      </w:pPr>
    </w:p>
    <w:p w14:paraId="71121BC3" w14:textId="6A653250" w:rsidR="00A37227" w:rsidRPr="002C7324" w:rsidRDefault="00A37227" w:rsidP="002C7324">
      <w:pPr>
        <w:pStyle w:val="ListParagraph"/>
        <w:numPr>
          <w:ilvl w:val="0"/>
          <w:numId w:val="5"/>
        </w:numPr>
        <w:spacing w:after="0" w:line="240" w:lineRule="auto"/>
        <w:rPr>
          <w:rFonts w:cstheme="minorHAnsi"/>
        </w:rPr>
      </w:pPr>
      <w:r w:rsidRPr="002C7324">
        <w:rPr>
          <w:rFonts w:cstheme="minorHAnsi"/>
        </w:rPr>
        <w:t xml:space="preserve">Eran </w:t>
      </w:r>
      <w:proofErr w:type="spellStart"/>
      <w:r w:rsidRPr="002C7324">
        <w:rPr>
          <w:rFonts w:cstheme="minorHAnsi"/>
        </w:rPr>
        <w:t>Segev</w:t>
      </w:r>
      <w:proofErr w:type="spellEnd"/>
    </w:p>
    <w:p w14:paraId="112EABD6" w14:textId="77777777" w:rsidR="00576F89" w:rsidRPr="002C7324" w:rsidRDefault="00576F89" w:rsidP="002C7324">
      <w:pPr>
        <w:spacing w:after="0" w:line="240" w:lineRule="auto"/>
        <w:contextualSpacing/>
        <w:rPr>
          <w:rFonts w:eastAsia="Times New Roman" w:cstheme="minorHAnsi"/>
        </w:rPr>
      </w:pPr>
    </w:p>
    <w:p w14:paraId="5E9B1D4E" w14:textId="38A0F047" w:rsidR="00576F89" w:rsidRPr="002C7324" w:rsidRDefault="00576F89" w:rsidP="002C7324">
      <w:pPr>
        <w:spacing w:after="0" w:line="240" w:lineRule="auto"/>
        <w:contextualSpacing/>
        <w:rPr>
          <w:rFonts w:eastAsia="Times New Roman" w:cstheme="minorHAnsi"/>
        </w:rPr>
      </w:pPr>
      <w:r w:rsidRPr="002C7324">
        <w:rPr>
          <w:rFonts w:eastAsia="Times New Roman" w:cstheme="minorHAnsi"/>
        </w:rPr>
        <w:t>The reason the Democrat won is because on aggregate, more people voted for her than for any other candidate. The reason that's true is that in this system, each voter gets more than one vote! Most people don't think about it that way, but that's a mathematical truth. At the end, only one of your votes goes towards one of the final candidates, because your other votes went to unsuccessful candidates, but you still had many votes.</w:t>
      </w:r>
    </w:p>
    <w:p w14:paraId="2E23C486" w14:textId="3D5988B8" w:rsidR="00903233" w:rsidRDefault="00903233">
      <w:pPr>
        <w:rPr>
          <w:rFonts w:cstheme="minorHAnsi"/>
        </w:rPr>
      </w:pPr>
      <w:r>
        <w:rPr>
          <w:rFonts w:cstheme="minorHAnsi"/>
        </w:rPr>
        <w:br w:type="page"/>
      </w:r>
    </w:p>
    <w:p w14:paraId="1C33BA37" w14:textId="46EC9330" w:rsidR="00A37227" w:rsidRPr="002C7324" w:rsidRDefault="00A37227" w:rsidP="002C7324">
      <w:pPr>
        <w:pStyle w:val="ListParagraph"/>
        <w:numPr>
          <w:ilvl w:val="0"/>
          <w:numId w:val="4"/>
        </w:numPr>
        <w:spacing w:after="0" w:line="240" w:lineRule="auto"/>
        <w:rPr>
          <w:rFonts w:cstheme="minorHAnsi"/>
        </w:rPr>
      </w:pPr>
      <w:r w:rsidRPr="002C7324">
        <w:rPr>
          <w:rFonts w:cstheme="minorHAnsi"/>
        </w:rPr>
        <w:lastRenderedPageBreak/>
        <w:t>Indiana to tax student loan forgiveness</w:t>
      </w:r>
    </w:p>
    <w:p w14:paraId="3A2365C4" w14:textId="69E46943" w:rsidR="00A37227" w:rsidRPr="002C7324" w:rsidRDefault="00000000" w:rsidP="002C7324">
      <w:pPr>
        <w:spacing w:after="0" w:line="240" w:lineRule="auto"/>
        <w:contextualSpacing/>
        <w:rPr>
          <w:rFonts w:cstheme="minorHAnsi"/>
          <w:color w:val="1155CC"/>
          <w:u w:val="single"/>
        </w:rPr>
      </w:pPr>
      <w:hyperlink r:id="rId11" w:history="1">
        <w:r w:rsidR="00A37227" w:rsidRPr="002C7324">
          <w:rPr>
            <w:rStyle w:val="Hyperlink"/>
            <w:rFonts w:cstheme="minorHAnsi"/>
          </w:rPr>
          <w:t>https://www.wthr.com/article/news/education/indiana-will-tax-loan-forgiveness-similar-to-other-states/531-7533db3c-f43d-459a-b639-6f5779eb25b7</w:t>
        </w:r>
      </w:hyperlink>
    </w:p>
    <w:p w14:paraId="7CD762FD" w14:textId="506F23F5" w:rsidR="00A37227" w:rsidRDefault="00A37227" w:rsidP="002C7324">
      <w:pPr>
        <w:spacing w:after="0" w:line="240" w:lineRule="auto"/>
        <w:contextualSpacing/>
        <w:rPr>
          <w:rFonts w:cstheme="minorHAnsi"/>
        </w:rPr>
      </w:pPr>
    </w:p>
    <w:p w14:paraId="52C34751" w14:textId="361659A5" w:rsidR="007811CC" w:rsidRDefault="007811CC" w:rsidP="002C7324">
      <w:pPr>
        <w:spacing w:after="0" w:line="240" w:lineRule="auto"/>
        <w:contextualSpacing/>
        <w:rPr>
          <w:rFonts w:cstheme="minorHAnsi"/>
        </w:rPr>
      </w:pPr>
      <w:r>
        <w:rPr>
          <w:rFonts w:cstheme="minorHAnsi"/>
        </w:rPr>
        <w:t xml:space="preserve">-ordinarily, debt forgiveness is taxable.  If you loan me $10,000, and </w:t>
      </w:r>
      <w:proofErr w:type="gramStart"/>
      <w:r>
        <w:rPr>
          <w:rFonts w:cstheme="minorHAnsi"/>
        </w:rPr>
        <w:t>say</w:t>
      </w:r>
      <w:proofErr w:type="gramEnd"/>
      <w:r>
        <w:rPr>
          <w:rFonts w:cstheme="minorHAnsi"/>
        </w:rPr>
        <w:t xml:space="preserve"> “pay me back in five years,” and then five years from now you say, “you know what, it’s all good,” I have to report that on my federal taxes. I’ve gotten $10,000 in income.</w:t>
      </w:r>
    </w:p>
    <w:p w14:paraId="1279EEA1" w14:textId="0AEF6547" w:rsidR="007811CC" w:rsidRDefault="007811CC" w:rsidP="002C7324">
      <w:pPr>
        <w:spacing w:after="0" w:line="240" w:lineRule="auto"/>
        <w:contextualSpacing/>
        <w:rPr>
          <w:rFonts w:cstheme="minorHAnsi"/>
        </w:rPr>
      </w:pPr>
    </w:p>
    <w:p w14:paraId="1D0CFB29" w14:textId="3340D4E4" w:rsidR="007811CC" w:rsidRDefault="007811CC" w:rsidP="002C7324">
      <w:pPr>
        <w:spacing w:after="0" w:line="240" w:lineRule="auto"/>
        <w:contextualSpacing/>
        <w:rPr>
          <w:rFonts w:cstheme="minorHAnsi"/>
        </w:rPr>
      </w:pPr>
      <w:r>
        <w:rPr>
          <w:rFonts w:cstheme="minorHAnsi"/>
        </w:rPr>
        <w:t xml:space="preserve">So, is the $10-20,000 you’re getting from the Biden administration to forgive student loan debt taxable? </w:t>
      </w:r>
    </w:p>
    <w:p w14:paraId="5933F4BC" w14:textId="4608C49F" w:rsidR="007811CC" w:rsidRPr="007811CC" w:rsidRDefault="007811CC" w:rsidP="007811CC">
      <w:pPr>
        <w:pStyle w:val="ListParagraph"/>
        <w:numPr>
          <w:ilvl w:val="1"/>
          <w:numId w:val="7"/>
        </w:numPr>
        <w:spacing w:after="0" w:line="240" w:lineRule="auto"/>
        <w:rPr>
          <w:rFonts w:cstheme="minorHAnsi"/>
        </w:rPr>
      </w:pPr>
      <w:r>
        <w:rPr>
          <w:rFonts w:cstheme="minorHAnsi"/>
        </w:rPr>
        <w:t>Federally, the answer is no</w:t>
      </w:r>
      <w:r w:rsidR="0065157A">
        <w:rPr>
          <w:rFonts w:cstheme="minorHAnsi"/>
        </w:rPr>
        <w:t>, and this is not a thing that the conservative courts can do ANYTHING ABOUT.</w:t>
      </w:r>
    </w:p>
    <w:p w14:paraId="1EED269F" w14:textId="77777777" w:rsidR="007811CC" w:rsidRDefault="007811CC" w:rsidP="002C7324">
      <w:pPr>
        <w:spacing w:after="0" w:line="240" w:lineRule="auto"/>
        <w:contextualSpacing/>
        <w:rPr>
          <w:rFonts w:cstheme="minorHAnsi"/>
        </w:rPr>
      </w:pPr>
    </w:p>
    <w:p w14:paraId="07143D61" w14:textId="454DC6BB" w:rsidR="007811CC" w:rsidRDefault="007811CC" w:rsidP="002C7324">
      <w:pPr>
        <w:spacing w:after="0" w:line="240" w:lineRule="auto"/>
        <w:contextualSpacing/>
        <w:rPr>
          <w:rFonts w:cstheme="minorHAnsi"/>
        </w:rPr>
      </w:pPr>
      <w:r>
        <w:rPr>
          <w:rFonts w:cstheme="minorHAnsi"/>
        </w:rPr>
        <w:t xml:space="preserve">HOWEVER – and again, we’re going to get like five weirdos accusing us of “punching left” here because we always get that when we defend the Biden administration </w:t>
      </w:r>
      <w:r w:rsidR="0065157A">
        <w:rPr>
          <w:rFonts w:cstheme="minorHAnsi"/>
        </w:rPr>
        <w:t>–</w:t>
      </w:r>
      <w:r>
        <w:rPr>
          <w:rFonts w:cstheme="minorHAnsi"/>
        </w:rPr>
        <w:t xml:space="preserve"> </w:t>
      </w:r>
      <w:r w:rsidR="0065157A">
        <w:rPr>
          <w:rFonts w:cstheme="minorHAnsi"/>
        </w:rPr>
        <w:t>but this is a deliberate thing they did to keep their campaign promise.</w:t>
      </w:r>
    </w:p>
    <w:p w14:paraId="5220D3EE" w14:textId="77777777" w:rsidR="007811CC" w:rsidRDefault="007811CC" w:rsidP="002C7324">
      <w:pPr>
        <w:spacing w:after="0" w:line="240" w:lineRule="auto"/>
        <w:contextualSpacing/>
        <w:rPr>
          <w:rFonts w:cstheme="minorHAnsi"/>
        </w:rPr>
      </w:pPr>
    </w:p>
    <w:p w14:paraId="53D795E9" w14:textId="3CB26863" w:rsidR="007811CC" w:rsidRDefault="007811CC" w:rsidP="002C7324">
      <w:pPr>
        <w:spacing w:after="0" w:line="240" w:lineRule="auto"/>
        <w:contextualSpacing/>
        <w:rPr>
          <w:rFonts w:cstheme="minorHAnsi"/>
        </w:rPr>
      </w:pPr>
      <w:r>
        <w:rPr>
          <w:rFonts w:cstheme="minorHAnsi"/>
        </w:rPr>
        <w:t>American Rescue Plan Act of 2021</w:t>
      </w:r>
      <w:r w:rsidR="0065157A">
        <w:rPr>
          <w:rFonts w:cstheme="minorHAnsi"/>
        </w:rPr>
        <w:t xml:space="preserve">, </w:t>
      </w:r>
      <w:r>
        <w:rPr>
          <w:rFonts w:cstheme="minorHAnsi"/>
        </w:rPr>
        <w:t>H.R. 1319</w:t>
      </w:r>
    </w:p>
    <w:p w14:paraId="73AD622B" w14:textId="235B7FE6" w:rsidR="007811CC" w:rsidRDefault="007811CC" w:rsidP="002C7324">
      <w:pPr>
        <w:spacing w:after="0" w:line="240" w:lineRule="auto"/>
        <w:contextualSpacing/>
        <w:rPr>
          <w:rFonts w:cstheme="minorHAnsi"/>
        </w:rPr>
      </w:pPr>
      <w:r>
        <w:rPr>
          <w:rFonts w:cstheme="minorHAnsi"/>
        </w:rPr>
        <w:t>March 11, 2021 – one of the first big accomplishments of the Biden administration upon taking office</w:t>
      </w:r>
    </w:p>
    <w:p w14:paraId="08465D8B" w14:textId="066254E6" w:rsidR="0065157A" w:rsidRDefault="0065157A" w:rsidP="002C7324">
      <w:pPr>
        <w:spacing w:after="0" w:line="240" w:lineRule="auto"/>
        <w:contextualSpacing/>
        <w:rPr>
          <w:rFonts w:cstheme="minorHAnsi"/>
        </w:rPr>
      </w:pPr>
      <w:r>
        <w:rPr>
          <w:rFonts w:cstheme="minorHAnsi"/>
        </w:rPr>
        <w:t xml:space="preserve">$1.9 trillion in relief </w:t>
      </w:r>
    </w:p>
    <w:p w14:paraId="68AA3B96" w14:textId="62AFC80C" w:rsidR="007811CC" w:rsidRDefault="00000000" w:rsidP="002C7324">
      <w:pPr>
        <w:spacing w:after="0" w:line="240" w:lineRule="auto"/>
        <w:contextualSpacing/>
        <w:rPr>
          <w:rFonts w:cstheme="minorHAnsi"/>
        </w:rPr>
      </w:pPr>
      <w:hyperlink r:id="rId12" w:history="1">
        <w:r w:rsidR="0065157A" w:rsidRPr="00470BE8">
          <w:rPr>
            <w:rStyle w:val="Hyperlink"/>
            <w:rFonts w:cstheme="minorHAnsi"/>
          </w:rPr>
          <w:t>https://www.congress.gov/117/plaws/publ2/PLAW-117publ2.pdf</w:t>
        </w:r>
      </w:hyperlink>
    </w:p>
    <w:p w14:paraId="4A3C8655" w14:textId="7F5E25F5" w:rsidR="0065157A" w:rsidRDefault="0065157A" w:rsidP="002C7324">
      <w:pPr>
        <w:spacing w:after="0" w:line="240" w:lineRule="auto"/>
        <w:contextualSpacing/>
        <w:rPr>
          <w:rFonts w:cstheme="minorHAnsi"/>
        </w:rPr>
      </w:pPr>
    </w:p>
    <w:p w14:paraId="59E337A4" w14:textId="04890C90" w:rsidR="0065157A" w:rsidRDefault="0065157A" w:rsidP="002C7324">
      <w:pPr>
        <w:spacing w:after="0" w:line="240" w:lineRule="auto"/>
        <w:contextualSpacing/>
        <w:rPr>
          <w:rFonts w:cstheme="minorHAnsi"/>
        </w:rPr>
      </w:pPr>
      <w:r>
        <w:rPr>
          <w:rFonts w:cstheme="minorHAnsi"/>
        </w:rPr>
        <w:t>Under Part 8, “Miscellaneous provisions,” Section 9675</w:t>
      </w:r>
      <w:r w:rsidR="00BA1EC3">
        <w:rPr>
          <w:rFonts w:cstheme="minorHAnsi"/>
        </w:rPr>
        <w:t xml:space="preserve"> amends 26 U.S.C. 108 of the Internal Revenue Code</w:t>
      </w:r>
    </w:p>
    <w:p w14:paraId="18B3A0A5" w14:textId="7F4E663D" w:rsidR="00BA1EC3" w:rsidRDefault="00000000" w:rsidP="002C7324">
      <w:pPr>
        <w:spacing w:after="0" w:line="240" w:lineRule="auto"/>
        <w:contextualSpacing/>
        <w:rPr>
          <w:rFonts w:cstheme="minorHAnsi"/>
        </w:rPr>
      </w:pPr>
      <w:hyperlink r:id="rId13" w:history="1">
        <w:r w:rsidR="00BA1EC3" w:rsidRPr="00470BE8">
          <w:rPr>
            <w:rStyle w:val="Hyperlink"/>
            <w:rFonts w:cstheme="minorHAnsi"/>
          </w:rPr>
          <w:t>https://www.law.cornell.edu/uscode/text/26/108</w:t>
        </w:r>
      </w:hyperlink>
    </w:p>
    <w:p w14:paraId="5EF7D63E" w14:textId="13433532" w:rsidR="00BA1EC3" w:rsidRDefault="00BA1EC3" w:rsidP="002C7324">
      <w:pPr>
        <w:spacing w:after="0" w:line="240" w:lineRule="auto"/>
        <w:contextualSpacing/>
        <w:rPr>
          <w:rFonts w:cstheme="minorHAnsi"/>
        </w:rPr>
      </w:pPr>
    </w:p>
    <w:p w14:paraId="145C6AB3" w14:textId="5DACB916" w:rsidR="00BA1EC3" w:rsidRDefault="00BA1EC3" w:rsidP="002C7324">
      <w:pPr>
        <w:spacing w:after="0" w:line="240" w:lineRule="auto"/>
        <w:contextualSpacing/>
        <w:rPr>
          <w:rFonts w:cstheme="minorHAnsi"/>
        </w:rPr>
      </w:pPr>
      <w:r>
        <w:rPr>
          <w:rFonts w:cstheme="minorHAnsi"/>
        </w:rPr>
        <w:t>That’s the section of the IRC that deals with special treatment for “income from the discharge of indebtedness.”</w:t>
      </w:r>
    </w:p>
    <w:p w14:paraId="5A79F1EF" w14:textId="77777777" w:rsidR="00BA1EC3" w:rsidRDefault="00BA1EC3" w:rsidP="002C7324">
      <w:pPr>
        <w:spacing w:after="0" w:line="240" w:lineRule="auto"/>
        <w:contextualSpacing/>
        <w:rPr>
          <w:rFonts w:cstheme="minorHAnsi"/>
        </w:rPr>
      </w:pPr>
    </w:p>
    <w:p w14:paraId="1CDF69BA" w14:textId="77777777" w:rsidR="00BA1EC3" w:rsidRDefault="00BA1EC3" w:rsidP="00BA1EC3">
      <w:pPr>
        <w:spacing w:after="0" w:line="240" w:lineRule="auto"/>
        <w:contextualSpacing/>
        <w:rPr>
          <w:rFonts w:cstheme="minorHAnsi"/>
        </w:rPr>
      </w:pPr>
      <w:r>
        <w:rPr>
          <w:rFonts w:cstheme="minorHAnsi"/>
        </w:rPr>
        <w:t>Adds Section (f)(5), which says:</w:t>
      </w:r>
    </w:p>
    <w:p w14:paraId="50300C02" w14:textId="5111445D" w:rsidR="00BA1EC3" w:rsidRDefault="00BA1EC3" w:rsidP="00BA1EC3">
      <w:pPr>
        <w:spacing w:after="0" w:line="240" w:lineRule="auto"/>
        <w:contextualSpacing/>
        <w:rPr>
          <w:rFonts w:cstheme="minorHAnsi"/>
        </w:rPr>
      </w:pPr>
      <w:r w:rsidRPr="00BA1EC3">
        <w:rPr>
          <w:rFonts w:cstheme="minorHAnsi"/>
        </w:rPr>
        <w:t>(5)</w:t>
      </w:r>
      <w:r>
        <w:rPr>
          <w:rFonts w:cstheme="minorHAnsi"/>
        </w:rPr>
        <w:t xml:space="preserve"> </w:t>
      </w:r>
      <w:r w:rsidRPr="00BA1EC3">
        <w:rPr>
          <w:rFonts w:cstheme="minorHAnsi"/>
        </w:rPr>
        <w:t>Special rule for discharges in 2021 through 2025</w:t>
      </w:r>
      <w:r>
        <w:rPr>
          <w:rFonts w:cstheme="minorHAnsi"/>
        </w:rPr>
        <w:t xml:space="preserve"> - </w:t>
      </w:r>
      <w:r w:rsidRPr="00BA1EC3">
        <w:rPr>
          <w:rFonts w:cstheme="minorHAnsi"/>
          <w:b/>
          <w:bCs/>
        </w:rPr>
        <w:t>Gross income does not include any amount which (but for this subsection) would be includible in gross income by reason of the discharge (in whole or in part) after December 31, 2020, and before January 1, 2026, of—(A)</w:t>
      </w:r>
      <w:r>
        <w:rPr>
          <w:rFonts w:cstheme="minorHAnsi"/>
          <w:b/>
          <w:bCs/>
        </w:rPr>
        <w:t xml:space="preserve"> </w:t>
      </w:r>
      <w:r w:rsidRPr="00BA1EC3">
        <w:rPr>
          <w:rFonts w:cstheme="minorHAnsi"/>
          <w:b/>
          <w:bCs/>
        </w:rPr>
        <w:t>any loan provided expressly for postsecondary educational expenses, regardless of whether provided through the educational institution or directly to the borrower</w:t>
      </w:r>
      <w:r w:rsidRPr="00BA1EC3">
        <w:rPr>
          <w:rFonts w:cstheme="minorHAnsi"/>
        </w:rPr>
        <w:t>, if such loan was made, insured, or guaranteed by—</w:t>
      </w:r>
    </w:p>
    <w:p w14:paraId="1E789202" w14:textId="77777777" w:rsidR="00BA1EC3" w:rsidRPr="00BA1EC3" w:rsidRDefault="00BA1EC3" w:rsidP="00BA1EC3">
      <w:pPr>
        <w:spacing w:after="0" w:line="240" w:lineRule="auto"/>
        <w:contextualSpacing/>
        <w:rPr>
          <w:rFonts w:cstheme="minorHAnsi"/>
        </w:rPr>
      </w:pPr>
    </w:p>
    <w:p w14:paraId="5E498F60" w14:textId="77777777" w:rsidR="00BA1EC3" w:rsidRPr="00BA1EC3" w:rsidRDefault="00BA1EC3" w:rsidP="00BA1EC3">
      <w:pPr>
        <w:spacing w:after="0" w:line="240" w:lineRule="auto"/>
        <w:contextualSpacing/>
        <w:rPr>
          <w:rFonts w:cstheme="minorHAnsi"/>
        </w:rPr>
      </w:pPr>
      <w:r w:rsidRPr="00BA1EC3">
        <w:rPr>
          <w:rFonts w:cstheme="minorHAnsi"/>
        </w:rPr>
        <w:t>(</w:t>
      </w:r>
      <w:proofErr w:type="spellStart"/>
      <w:r w:rsidRPr="00BA1EC3">
        <w:rPr>
          <w:rFonts w:cstheme="minorHAnsi"/>
        </w:rPr>
        <w:t>i</w:t>
      </w:r>
      <w:proofErr w:type="spellEnd"/>
      <w:r w:rsidRPr="00BA1EC3">
        <w:rPr>
          <w:rFonts w:cstheme="minorHAnsi"/>
        </w:rPr>
        <w:t>)the United States, or an instrumentality or agency thereof,</w:t>
      </w:r>
    </w:p>
    <w:p w14:paraId="470E503C" w14:textId="77777777" w:rsidR="00BA1EC3" w:rsidRPr="00BA1EC3" w:rsidRDefault="00BA1EC3" w:rsidP="00BA1EC3">
      <w:pPr>
        <w:spacing w:after="0" w:line="240" w:lineRule="auto"/>
        <w:contextualSpacing/>
        <w:rPr>
          <w:rFonts w:cstheme="minorHAnsi"/>
        </w:rPr>
      </w:pPr>
      <w:r w:rsidRPr="00BA1EC3">
        <w:rPr>
          <w:rFonts w:cstheme="minorHAnsi"/>
        </w:rPr>
        <w:t>(ii)a State, territory, or possession of the United States, or the District of Columbia, or any political subdivision thereof, or</w:t>
      </w:r>
    </w:p>
    <w:p w14:paraId="0B28D907" w14:textId="77777777" w:rsidR="00BA1EC3" w:rsidRPr="00BA1EC3" w:rsidRDefault="00BA1EC3" w:rsidP="00BA1EC3">
      <w:pPr>
        <w:spacing w:after="0" w:line="240" w:lineRule="auto"/>
        <w:contextualSpacing/>
        <w:rPr>
          <w:rFonts w:cstheme="minorHAnsi"/>
        </w:rPr>
      </w:pPr>
      <w:r w:rsidRPr="00BA1EC3">
        <w:rPr>
          <w:rFonts w:cstheme="minorHAnsi"/>
        </w:rPr>
        <w:t>(iii)an eligible educational institution (as defined in section 25A),</w:t>
      </w:r>
    </w:p>
    <w:p w14:paraId="3C5ED1C2" w14:textId="77777777" w:rsidR="00BA1EC3" w:rsidRDefault="00BA1EC3" w:rsidP="00BA1EC3">
      <w:pPr>
        <w:spacing w:after="0" w:line="240" w:lineRule="auto"/>
        <w:contextualSpacing/>
        <w:rPr>
          <w:rFonts w:cstheme="minorHAnsi"/>
        </w:rPr>
      </w:pPr>
    </w:p>
    <w:p w14:paraId="391AA31B" w14:textId="1CA1E6E1" w:rsidR="00BA1EC3" w:rsidRPr="00BA1EC3" w:rsidRDefault="00BA1EC3" w:rsidP="00BA1EC3">
      <w:pPr>
        <w:spacing w:after="0" w:line="240" w:lineRule="auto"/>
        <w:contextualSpacing/>
        <w:rPr>
          <w:rFonts w:cstheme="minorHAnsi"/>
        </w:rPr>
      </w:pPr>
      <w:r w:rsidRPr="00BA1EC3">
        <w:rPr>
          <w:rFonts w:cstheme="minorHAnsi"/>
        </w:rPr>
        <w:t>(B)</w:t>
      </w:r>
      <w:r>
        <w:rPr>
          <w:rFonts w:cstheme="minorHAnsi"/>
        </w:rPr>
        <w:t xml:space="preserve"> </w:t>
      </w:r>
      <w:r w:rsidRPr="00BA1EC3">
        <w:rPr>
          <w:rFonts w:cstheme="minorHAnsi"/>
        </w:rPr>
        <w:t>any private education loan (as defined in section 140(a)(7) [1] of the Truth in Lending Act),</w:t>
      </w:r>
    </w:p>
    <w:p w14:paraId="3347F2D2" w14:textId="2C08C98D" w:rsidR="00BA1EC3" w:rsidRPr="00BA1EC3" w:rsidRDefault="00BA1EC3" w:rsidP="00BA1EC3">
      <w:pPr>
        <w:spacing w:after="0" w:line="240" w:lineRule="auto"/>
        <w:contextualSpacing/>
        <w:rPr>
          <w:rFonts w:cstheme="minorHAnsi"/>
        </w:rPr>
      </w:pPr>
      <w:r w:rsidRPr="00BA1EC3">
        <w:rPr>
          <w:rFonts w:cstheme="minorHAnsi"/>
        </w:rPr>
        <w:t>(C)</w:t>
      </w:r>
      <w:r>
        <w:rPr>
          <w:rFonts w:cstheme="minorHAnsi"/>
        </w:rPr>
        <w:t xml:space="preserve"> </w:t>
      </w:r>
      <w:r w:rsidRPr="00BA1EC3">
        <w:rPr>
          <w:rFonts w:cstheme="minorHAnsi"/>
        </w:rPr>
        <w:t>any loan made by any educational organization described in section 170(b)(1)(A)(ii) if such loan is made—</w:t>
      </w:r>
      <w:r>
        <w:rPr>
          <w:rFonts w:cstheme="minorHAnsi"/>
        </w:rPr>
        <w:t xml:space="preserve"> </w:t>
      </w:r>
      <w:r w:rsidRPr="00BA1EC3">
        <w:rPr>
          <w:rFonts w:cstheme="minorHAnsi"/>
        </w:rPr>
        <w:t>(</w:t>
      </w:r>
      <w:proofErr w:type="spellStart"/>
      <w:r w:rsidRPr="00BA1EC3">
        <w:rPr>
          <w:rFonts w:cstheme="minorHAnsi"/>
        </w:rPr>
        <w:t>i</w:t>
      </w:r>
      <w:proofErr w:type="spellEnd"/>
      <w:r w:rsidRPr="00BA1EC3">
        <w:rPr>
          <w:rFonts w:cstheme="minorHAnsi"/>
        </w:rPr>
        <w:t>)pursuant to an agreement with any entity described in subparagraph (A) or any private education [2] lender (as defined in section 140(a) of the Truth in Lending Act) under which the funds from which the loan was made were provided to such educational organization, or</w:t>
      </w:r>
      <w:r>
        <w:rPr>
          <w:rFonts w:cstheme="minorHAnsi"/>
        </w:rPr>
        <w:t xml:space="preserve"> </w:t>
      </w:r>
      <w:r w:rsidRPr="00BA1EC3">
        <w:rPr>
          <w:rFonts w:cstheme="minorHAnsi"/>
        </w:rPr>
        <w:t>(ii)</w:t>
      </w:r>
      <w:r>
        <w:rPr>
          <w:rFonts w:cstheme="minorHAnsi"/>
        </w:rPr>
        <w:t xml:space="preserve"> </w:t>
      </w:r>
      <w:r w:rsidRPr="00BA1EC3">
        <w:rPr>
          <w:rFonts w:cstheme="minorHAnsi"/>
        </w:rPr>
        <w:t xml:space="preserve">pursuant to a program of such educational organization which is designed to encourage its students to serve in occupations with unmet needs or in areas with unmet needs and under which the services provided by </w:t>
      </w:r>
      <w:r w:rsidRPr="00BA1EC3">
        <w:rPr>
          <w:rFonts w:cstheme="minorHAnsi"/>
        </w:rPr>
        <w:lastRenderedPageBreak/>
        <w:t>the students (or former students) are for or under the direction of a governmental unit or an organization described in section 501(c)(3) and exempt from tax under section 501(a), or</w:t>
      </w:r>
    </w:p>
    <w:p w14:paraId="6A3B2426" w14:textId="77777777" w:rsidR="00BA1EC3" w:rsidRPr="00BA1EC3" w:rsidRDefault="00BA1EC3" w:rsidP="00BA1EC3">
      <w:pPr>
        <w:spacing w:after="0" w:line="240" w:lineRule="auto"/>
        <w:contextualSpacing/>
        <w:rPr>
          <w:rFonts w:cstheme="minorHAnsi"/>
        </w:rPr>
      </w:pPr>
      <w:r w:rsidRPr="00BA1EC3">
        <w:rPr>
          <w:rFonts w:cstheme="minorHAnsi"/>
        </w:rPr>
        <w:t>(D)any loan made by an educational organization described in section 170(b)(1)(A)(ii) or by an organization exempt from tax under section 501(a) to refinance a loan to an individual to assist the individual in attending any such educational organization but only if the refinancing loan is pursuant to a program of the refinancing organization which is designed as described in subparagraph (C)(ii).</w:t>
      </w:r>
    </w:p>
    <w:p w14:paraId="4049A58C" w14:textId="6828ED1A" w:rsidR="00BA1EC3" w:rsidRDefault="00BA1EC3" w:rsidP="00BA1EC3">
      <w:pPr>
        <w:spacing w:after="0" w:line="240" w:lineRule="auto"/>
        <w:contextualSpacing/>
        <w:rPr>
          <w:rFonts w:cstheme="minorHAnsi"/>
        </w:rPr>
      </w:pPr>
      <w:r w:rsidRPr="00BA1EC3">
        <w:rPr>
          <w:rFonts w:cstheme="minorHAnsi"/>
        </w:rPr>
        <w:t>The preceding sentence shall not apply to the discharge of a loan made by an organization described in subparagraph (C) or made by a private education 2 lender (as defined in section 140(a)(7) of the Truth in Lending Act) if the discharge is on account of services performed for either such organization or for such private education lender.</w:t>
      </w:r>
    </w:p>
    <w:p w14:paraId="051CF835" w14:textId="436AC319" w:rsidR="00BA1EC3" w:rsidRDefault="00BA1EC3" w:rsidP="00BA1EC3">
      <w:pPr>
        <w:spacing w:after="0" w:line="240" w:lineRule="auto"/>
        <w:contextualSpacing/>
        <w:rPr>
          <w:rFonts w:cstheme="minorHAnsi"/>
        </w:rPr>
      </w:pPr>
    </w:p>
    <w:p w14:paraId="71CB789C" w14:textId="59F40B24" w:rsidR="00BA1EC3" w:rsidRDefault="00BA1EC3" w:rsidP="00BA1EC3">
      <w:pPr>
        <w:spacing w:after="0" w:line="240" w:lineRule="auto"/>
        <w:contextualSpacing/>
        <w:rPr>
          <w:rFonts w:cstheme="minorHAnsi"/>
        </w:rPr>
      </w:pPr>
      <w:r>
        <w:rPr>
          <w:rFonts w:cstheme="minorHAnsi"/>
        </w:rPr>
        <w:t xml:space="preserve">Congress has taxing power, that law was </w:t>
      </w:r>
      <w:r w:rsidR="00054C92">
        <w:rPr>
          <w:rFonts w:cstheme="minorHAnsi"/>
        </w:rPr>
        <w:t>passed, NOTHING the Supreme Court can do about it.</w:t>
      </w:r>
    </w:p>
    <w:p w14:paraId="025C43D7" w14:textId="28A347D4" w:rsidR="00054C92" w:rsidRDefault="00054C92" w:rsidP="00BA1EC3">
      <w:pPr>
        <w:spacing w:after="0" w:line="240" w:lineRule="auto"/>
        <w:contextualSpacing/>
        <w:rPr>
          <w:rFonts w:cstheme="minorHAnsi"/>
        </w:rPr>
      </w:pPr>
    </w:p>
    <w:p w14:paraId="1B0756C1" w14:textId="54F8AD79" w:rsidR="00054C92" w:rsidRDefault="00054C92" w:rsidP="00BA1EC3">
      <w:pPr>
        <w:spacing w:after="0" w:line="240" w:lineRule="auto"/>
        <w:contextualSpacing/>
        <w:rPr>
          <w:rFonts w:cstheme="minorHAnsi"/>
        </w:rPr>
      </w:pPr>
      <w:r>
        <w:rPr>
          <w:rFonts w:cstheme="minorHAnsi"/>
        </w:rPr>
        <w:t>BUT! Can individual states screw with you?</w:t>
      </w:r>
    </w:p>
    <w:p w14:paraId="6323D000" w14:textId="6FEF700E" w:rsidR="00054C92" w:rsidRDefault="00054C92" w:rsidP="00BA1EC3">
      <w:pPr>
        <w:spacing w:after="0" w:line="240" w:lineRule="auto"/>
        <w:contextualSpacing/>
        <w:rPr>
          <w:rFonts w:cstheme="minorHAnsi"/>
        </w:rPr>
      </w:pPr>
    </w:p>
    <w:p w14:paraId="4FAAC40B" w14:textId="25B0CF7F" w:rsidR="00054C92" w:rsidRDefault="00054C92" w:rsidP="00BA1EC3">
      <w:pPr>
        <w:spacing w:after="0" w:line="240" w:lineRule="auto"/>
        <w:contextualSpacing/>
        <w:rPr>
          <w:rFonts w:cstheme="minorHAnsi"/>
        </w:rPr>
      </w:pPr>
      <w:r>
        <w:rPr>
          <w:rFonts w:cstheme="minorHAnsi"/>
        </w:rPr>
        <w:t>Yes.  Three questions: (1) the state “conforms” to the IRC in terms of adjudicating taxes. Most states do, but some don’t (like Arkansas</w:t>
      </w:r>
      <w:r w:rsidR="00C3159E">
        <w:rPr>
          <w:rFonts w:cstheme="minorHAnsi"/>
        </w:rPr>
        <w:t xml:space="preserve"> and Mississippi</w:t>
      </w:r>
      <w:r>
        <w:rPr>
          <w:rFonts w:cstheme="minorHAnsi"/>
        </w:rPr>
        <w:t xml:space="preserve">). Even if it does, you have two more questions:  is (2) when did they last conform? – some states have picked a date, and if it’s pre-2021, it would exclude the American Rescue Plan Act </w:t>
      </w:r>
      <w:r w:rsidR="00C3159E">
        <w:rPr>
          <w:rFonts w:cstheme="minorHAnsi"/>
        </w:rPr>
        <w:t>(like Minnesota – so you might want to contact your state legislature, because this is very likely just an accident). But then there’s a third category, and that’s states that conform to the IRC, post-ARPA, but decided to pass laws that specifically exclude § 108(f)(5).</w:t>
      </w:r>
    </w:p>
    <w:p w14:paraId="0B14F80F" w14:textId="3E7CFE6A" w:rsidR="00C3159E" w:rsidRDefault="00C3159E" w:rsidP="00BA1EC3">
      <w:pPr>
        <w:spacing w:after="0" w:line="240" w:lineRule="auto"/>
        <w:contextualSpacing/>
        <w:rPr>
          <w:rFonts w:cstheme="minorHAnsi"/>
        </w:rPr>
      </w:pPr>
    </w:p>
    <w:p w14:paraId="5C38ED5E" w14:textId="1E732FD1" w:rsidR="00C3159E" w:rsidRDefault="00C3159E" w:rsidP="00BA1EC3">
      <w:pPr>
        <w:spacing w:after="0" w:line="240" w:lineRule="auto"/>
        <w:contextualSpacing/>
        <w:rPr>
          <w:rFonts w:cstheme="minorHAnsi"/>
        </w:rPr>
      </w:pPr>
      <w:r>
        <w:rPr>
          <w:rFonts w:cstheme="minorHAnsi"/>
        </w:rPr>
        <w:t xml:space="preserve">And yes, states did this.  </w:t>
      </w:r>
      <w:proofErr w:type="gramStart"/>
      <w:r>
        <w:rPr>
          <w:rFonts w:cstheme="minorHAnsi"/>
        </w:rPr>
        <w:t>In particular, states</w:t>
      </w:r>
      <w:proofErr w:type="gramEnd"/>
      <w:r>
        <w:rPr>
          <w:rFonts w:cstheme="minorHAnsi"/>
        </w:rPr>
        <w:t xml:space="preserve"> dominated by Republicans – Indiana and North Carolina – looked at that provision and said “oh, hell no, that’s not a tax cut for mega-corporations, so </w:t>
      </w:r>
      <w:r w:rsidR="003F223B">
        <w:rPr>
          <w:rFonts w:cstheme="minorHAnsi"/>
        </w:rPr>
        <w:t>we don’t want you to have the benefit of it and think that government is a good thing.”</w:t>
      </w:r>
    </w:p>
    <w:p w14:paraId="43FE1C39" w14:textId="068D927F" w:rsidR="003F223B" w:rsidRDefault="003F223B" w:rsidP="00BA1EC3">
      <w:pPr>
        <w:spacing w:after="0" w:line="240" w:lineRule="auto"/>
        <w:contextualSpacing/>
        <w:rPr>
          <w:rFonts w:cstheme="minorHAnsi"/>
        </w:rPr>
      </w:pPr>
    </w:p>
    <w:p w14:paraId="0039D92C" w14:textId="0978257B" w:rsidR="003F223B" w:rsidRDefault="00390AE6" w:rsidP="00BA1EC3">
      <w:pPr>
        <w:spacing w:after="0" w:line="240" w:lineRule="auto"/>
        <w:contextualSpacing/>
        <w:rPr>
          <w:rFonts w:cstheme="minorHAnsi"/>
        </w:rPr>
      </w:pPr>
      <w:r>
        <w:rPr>
          <w:rFonts w:cstheme="minorHAnsi"/>
        </w:rPr>
        <w:t>Indiana has specifically come out and confirmed it.  Go check with your state’s Dept of Revenue or equivalent. (*Don’t take legal or tax advice from a podcast.)</w:t>
      </w:r>
    </w:p>
    <w:p w14:paraId="61429BED" w14:textId="5364AE6F" w:rsidR="00390AE6" w:rsidRDefault="00390AE6" w:rsidP="00BA1EC3">
      <w:pPr>
        <w:spacing w:after="0" w:line="240" w:lineRule="auto"/>
        <w:contextualSpacing/>
        <w:rPr>
          <w:rFonts w:cstheme="minorHAnsi"/>
        </w:rPr>
      </w:pPr>
    </w:p>
    <w:p w14:paraId="7DCB5E12" w14:textId="7C14D7E5" w:rsidR="00390AE6" w:rsidRPr="00ED4002" w:rsidRDefault="00390AE6" w:rsidP="00ED4002">
      <w:pPr>
        <w:pStyle w:val="ListParagraph"/>
        <w:numPr>
          <w:ilvl w:val="0"/>
          <w:numId w:val="2"/>
        </w:numPr>
        <w:spacing w:after="0" w:line="240" w:lineRule="auto"/>
        <w:rPr>
          <w:rFonts w:cstheme="minorHAnsi"/>
        </w:rPr>
      </w:pPr>
      <w:r w:rsidRPr="00ED4002">
        <w:rPr>
          <w:rFonts w:cstheme="minorHAnsi"/>
          <w:i/>
          <w:iCs/>
        </w:rPr>
        <w:t>Braidwood Management, Inc. v. Becerra</w:t>
      </w:r>
      <w:r w:rsidRPr="00ED4002">
        <w:rPr>
          <w:rFonts w:cstheme="minorHAnsi"/>
        </w:rPr>
        <w:t xml:space="preserve"> (N.D. Texas 2022)</w:t>
      </w:r>
    </w:p>
    <w:p w14:paraId="33D5DAC6" w14:textId="295A3659" w:rsidR="00ED4002" w:rsidRDefault="008B2BAE" w:rsidP="00390AE6">
      <w:pPr>
        <w:spacing w:after="0" w:line="240" w:lineRule="auto"/>
        <w:rPr>
          <w:rFonts w:cstheme="minorHAnsi"/>
        </w:rPr>
      </w:pPr>
      <w:r>
        <w:rPr>
          <w:rFonts w:cstheme="minorHAnsi"/>
        </w:rPr>
        <w:t>REPUBLICANS AREN’T GOING TO STOP AT BANNING ABORTION</w:t>
      </w:r>
      <w:r w:rsidR="007306C0">
        <w:rPr>
          <w:rFonts w:cstheme="minorHAnsi"/>
        </w:rPr>
        <w:t xml:space="preserve"> – THEY WANT YOU DEAD (DON’T CARE)</w:t>
      </w:r>
    </w:p>
    <w:p w14:paraId="32F668B3" w14:textId="4C6AAF5A" w:rsidR="00390AE6" w:rsidRDefault="002D1F9A" w:rsidP="00390AE6">
      <w:pPr>
        <w:spacing w:after="0" w:line="240" w:lineRule="auto"/>
        <w:rPr>
          <w:rFonts w:cstheme="minorHAnsi"/>
        </w:rPr>
      </w:pPr>
      <w:r>
        <w:rPr>
          <w:rFonts w:cstheme="minorHAnsi"/>
        </w:rPr>
        <w:t>42 U.S.C. § 300gg – section of the ACA regulating “fair health insurance premiums”</w:t>
      </w:r>
    </w:p>
    <w:p w14:paraId="0E32AF8B" w14:textId="63054672" w:rsidR="002D1F9A" w:rsidRDefault="00000000" w:rsidP="00390AE6">
      <w:pPr>
        <w:spacing w:after="0" w:line="240" w:lineRule="auto"/>
        <w:rPr>
          <w:rFonts w:cstheme="minorHAnsi"/>
        </w:rPr>
      </w:pPr>
      <w:hyperlink r:id="rId14" w:history="1">
        <w:r w:rsidR="002D1F9A" w:rsidRPr="00470BE8">
          <w:rPr>
            <w:rStyle w:val="Hyperlink"/>
            <w:rFonts w:cstheme="minorHAnsi"/>
          </w:rPr>
          <w:t>https://www.law.cornell.edu/uscode/text/42/300gg</w:t>
        </w:r>
      </w:hyperlink>
    </w:p>
    <w:p w14:paraId="704E535C" w14:textId="77777777" w:rsidR="002D1F9A" w:rsidRDefault="002D1F9A" w:rsidP="00390AE6">
      <w:pPr>
        <w:spacing w:after="0" w:line="240" w:lineRule="auto"/>
        <w:rPr>
          <w:rFonts w:cstheme="minorHAnsi"/>
        </w:rPr>
      </w:pPr>
    </w:p>
    <w:p w14:paraId="41C89A6D" w14:textId="6FECF2A1" w:rsidR="002D1F9A" w:rsidRPr="00390AE6" w:rsidRDefault="002D1F9A" w:rsidP="00390AE6">
      <w:pPr>
        <w:spacing w:after="0" w:line="240" w:lineRule="auto"/>
        <w:rPr>
          <w:rFonts w:cstheme="minorHAnsi"/>
        </w:rPr>
      </w:pPr>
      <w:r w:rsidRPr="002D1F9A">
        <w:rPr>
          <w:rFonts w:cstheme="minorHAnsi"/>
        </w:rPr>
        <w:t xml:space="preserve">The Patient Protection and Affordable Care Act (“ACA”) requires </w:t>
      </w:r>
      <w:r w:rsidRPr="002D1F9A">
        <w:rPr>
          <w:rFonts w:cstheme="minorHAnsi"/>
          <w:b/>
          <w:bCs/>
        </w:rPr>
        <w:t>most private health insurance to cover certain “preventive care.”</w:t>
      </w:r>
      <w:r w:rsidRPr="002D1F9A">
        <w:rPr>
          <w:rFonts w:cstheme="minorHAnsi"/>
        </w:rPr>
        <w:t xml:space="preserve"> 42 U.S.C. § 300gg-13. Specifically, group health plans and health insurance issuers </w:t>
      </w:r>
      <w:r w:rsidRPr="002D1F9A">
        <w:rPr>
          <w:rFonts w:cstheme="minorHAnsi"/>
          <w:b/>
          <w:bCs/>
        </w:rPr>
        <w:t>must “provide coverage for and shall not impose any cost sharing requirements for” four categories of preventive care</w:t>
      </w:r>
      <w:r>
        <w:rPr>
          <w:rFonts w:cstheme="minorHAnsi"/>
          <w:b/>
          <w:bCs/>
        </w:rPr>
        <w:t xml:space="preserve"> [as defined by]</w:t>
      </w:r>
      <w:r w:rsidRPr="002D1F9A">
        <w:rPr>
          <w:rFonts w:cstheme="minorHAnsi"/>
        </w:rPr>
        <w:t xml:space="preserve">. Id. The ACA empowers </w:t>
      </w:r>
      <w:r w:rsidRPr="002D1F9A">
        <w:rPr>
          <w:rFonts w:cstheme="minorHAnsi"/>
          <w:b/>
          <w:bCs/>
        </w:rPr>
        <w:t>three agencies</w:t>
      </w:r>
      <w:r w:rsidRPr="002D1F9A">
        <w:rPr>
          <w:rFonts w:cstheme="minorHAnsi"/>
        </w:rPr>
        <w:t xml:space="preserve"> affiliated with the Department of Health and Human Services (“</w:t>
      </w:r>
      <w:r w:rsidRPr="002D1F9A">
        <w:rPr>
          <w:rFonts w:cstheme="minorHAnsi"/>
          <w:b/>
          <w:bCs/>
        </w:rPr>
        <w:t>HHS</w:t>
      </w:r>
      <w:r w:rsidRPr="002D1F9A">
        <w:rPr>
          <w:rFonts w:cstheme="minorHAnsi"/>
        </w:rPr>
        <w:t xml:space="preserve">”) to determine what services fall within those four categories. Id. </w:t>
      </w:r>
      <w:r w:rsidRPr="002D1F9A">
        <w:rPr>
          <w:rFonts w:cstheme="minorHAnsi"/>
          <w:b/>
          <w:bCs/>
        </w:rPr>
        <w:t>First</w:t>
      </w:r>
      <w:r w:rsidRPr="002D1F9A">
        <w:rPr>
          <w:rFonts w:cstheme="minorHAnsi"/>
        </w:rPr>
        <w:t xml:space="preserve">, the U.S. Preventive Services Task Force (“PSTF”) recommends </w:t>
      </w:r>
      <w:r w:rsidRPr="002D1F9A">
        <w:rPr>
          <w:rFonts w:cstheme="minorHAnsi"/>
          <w:b/>
          <w:bCs/>
        </w:rPr>
        <w:t>“evidence-based items or services that have in effect a rating of ‘A’ or ‘B.’”</w:t>
      </w:r>
      <w:r w:rsidRPr="002D1F9A">
        <w:rPr>
          <w:rFonts w:cstheme="minorHAnsi"/>
        </w:rPr>
        <w:t xml:space="preserve"> Id. § 300gg-13(a)(1). </w:t>
      </w:r>
      <w:r w:rsidRPr="002D1F9A">
        <w:rPr>
          <w:rFonts w:cstheme="minorHAnsi"/>
          <w:b/>
          <w:bCs/>
        </w:rPr>
        <w:t>Second</w:t>
      </w:r>
      <w:r w:rsidRPr="002D1F9A">
        <w:rPr>
          <w:rFonts w:cstheme="minorHAnsi"/>
        </w:rPr>
        <w:t xml:space="preserve">, the Advisory Committee on Immunization Practices (“ACIP”) recommends </w:t>
      </w:r>
      <w:r w:rsidRPr="002D1F9A">
        <w:rPr>
          <w:rFonts w:cstheme="minorHAnsi"/>
          <w:b/>
          <w:bCs/>
        </w:rPr>
        <w:t>certain immunizations</w:t>
      </w:r>
      <w:r w:rsidRPr="002D1F9A">
        <w:rPr>
          <w:rFonts w:cstheme="minorHAnsi"/>
        </w:rPr>
        <w:t xml:space="preserve">. Id. § 300gg-13(a)(2). </w:t>
      </w:r>
      <w:r w:rsidRPr="002D1F9A">
        <w:rPr>
          <w:rFonts w:cstheme="minorHAnsi"/>
          <w:b/>
          <w:bCs/>
        </w:rPr>
        <w:t>Third</w:t>
      </w:r>
      <w:r w:rsidRPr="002D1F9A">
        <w:rPr>
          <w:rFonts w:cstheme="minorHAnsi"/>
        </w:rPr>
        <w:t>, the Health Resources and Services Administration (“HRSA”) issues “</w:t>
      </w:r>
      <w:r w:rsidRPr="002D1F9A">
        <w:rPr>
          <w:rFonts w:cstheme="minorHAnsi"/>
          <w:b/>
          <w:bCs/>
        </w:rPr>
        <w:t>comprehensive guidelines” with respect to infants, children, and adolescents for “evidence-informed preventive care and screenings.”</w:t>
      </w:r>
      <w:r w:rsidRPr="002D1F9A">
        <w:rPr>
          <w:rFonts w:cstheme="minorHAnsi"/>
        </w:rPr>
        <w:t xml:space="preserve"> Id. § 300gg-13(a)(3). </w:t>
      </w:r>
      <w:r w:rsidRPr="002D1F9A">
        <w:rPr>
          <w:rFonts w:cstheme="minorHAnsi"/>
          <w:b/>
          <w:bCs/>
        </w:rPr>
        <w:t>And fourth</w:t>
      </w:r>
      <w:r w:rsidRPr="002D1F9A">
        <w:rPr>
          <w:rFonts w:cstheme="minorHAnsi"/>
        </w:rPr>
        <w:t>, HRSA issues “</w:t>
      </w:r>
      <w:r w:rsidRPr="002D1F9A">
        <w:rPr>
          <w:rFonts w:cstheme="minorHAnsi"/>
          <w:b/>
          <w:bCs/>
        </w:rPr>
        <w:t>comprehensive guidelines</w:t>
      </w:r>
      <w:r w:rsidRPr="002D1F9A">
        <w:rPr>
          <w:rFonts w:cstheme="minorHAnsi"/>
        </w:rPr>
        <w:t xml:space="preserve">” </w:t>
      </w:r>
      <w:r w:rsidRPr="002D1F9A">
        <w:rPr>
          <w:rFonts w:cstheme="minorHAnsi"/>
          <w:b/>
          <w:bCs/>
        </w:rPr>
        <w:t xml:space="preserve">with respect to women for “such additional preventive care and screenings” </w:t>
      </w:r>
      <w:r w:rsidRPr="002D1F9A">
        <w:rPr>
          <w:rFonts w:cstheme="minorHAnsi"/>
        </w:rPr>
        <w:t>not covered under § 300gg-13(a)(1). Id. § 300gg-13(a)(4). Private health insurance must cover the services identified by the three agencies under these categories.1 Id. § 300gg-13(a).</w:t>
      </w:r>
    </w:p>
    <w:p w14:paraId="66B19399" w14:textId="77777777" w:rsidR="002D1F9A" w:rsidRDefault="002D1F9A" w:rsidP="00390AE6">
      <w:pPr>
        <w:spacing w:after="0" w:line="240" w:lineRule="auto"/>
        <w:rPr>
          <w:rFonts w:cstheme="minorHAnsi"/>
        </w:rPr>
      </w:pPr>
    </w:p>
    <w:p w14:paraId="53D68AFC" w14:textId="2E36B7EC" w:rsidR="002D1F9A" w:rsidRPr="0078509E" w:rsidRDefault="002D1F9A" w:rsidP="00390AE6">
      <w:pPr>
        <w:spacing w:after="0" w:line="240" w:lineRule="auto"/>
        <w:rPr>
          <w:b/>
          <w:bCs/>
        </w:rPr>
      </w:pPr>
      <w:r w:rsidRPr="0078509E">
        <w:rPr>
          <w:b/>
          <w:bCs/>
        </w:rPr>
        <w:t xml:space="preserve">U.S. Preventive Services Task Force (“PSTF”) makes recommendations. The purpose of PSTF is to “review the scientific evidence related to the effectiveness, appropriateness, and cost-effectiveness of clinical preventive services for the purpose of developing recommendations for the health care </w:t>
      </w:r>
      <w:proofErr w:type="gramStart"/>
      <w:r w:rsidRPr="0078509E">
        <w:rPr>
          <w:b/>
          <w:bCs/>
        </w:rPr>
        <w:t>community, and</w:t>
      </w:r>
      <w:proofErr w:type="gramEnd"/>
      <w:r w:rsidRPr="0078509E">
        <w:rPr>
          <w:b/>
          <w:bCs/>
        </w:rPr>
        <w:t xml:space="preserve"> updating previous clinical preventive recommendations.” Id. By statute, PSTF and its members “shall be independent and, to the extent practicable, not subject to political pressure.” Id. § 299b-4(a)(6).</w:t>
      </w:r>
    </w:p>
    <w:p w14:paraId="043A91FC" w14:textId="55FF1B54" w:rsidR="00ED4002" w:rsidRDefault="00ED4002" w:rsidP="00390AE6">
      <w:pPr>
        <w:spacing w:after="0" w:line="240" w:lineRule="auto"/>
      </w:pPr>
    </w:p>
    <w:p w14:paraId="36C85ADB" w14:textId="3BC66EBC" w:rsidR="00ED4002" w:rsidRPr="00ED4002" w:rsidRDefault="00ED4002" w:rsidP="00390AE6">
      <w:pPr>
        <w:spacing w:after="0" w:line="240" w:lineRule="auto"/>
        <w:rPr>
          <w:u w:val="single"/>
        </w:rPr>
      </w:pPr>
      <w:r w:rsidRPr="00ED4002">
        <w:rPr>
          <w:u w:val="single"/>
        </w:rPr>
        <w:t>Under #1</w:t>
      </w:r>
    </w:p>
    <w:p w14:paraId="46930128" w14:textId="52D1A55D" w:rsidR="00ED4002" w:rsidRDefault="00ED4002" w:rsidP="00ED4002">
      <w:pPr>
        <w:spacing w:after="0" w:line="240" w:lineRule="auto"/>
        <w:rPr>
          <w:rFonts w:cstheme="minorHAnsi"/>
        </w:rPr>
      </w:pPr>
      <w:r w:rsidRPr="00ED4002">
        <w:rPr>
          <w:rFonts w:cstheme="minorHAnsi"/>
        </w:rPr>
        <w:t>In 2019, PSTF recommended pre-exposure prophylaxis (“</w:t>
      </w:r>
      <w:proofErr w:type="spellStart"/>
      <w:r w:rsidRPr="00ED4002">
        <w:rPr>
          <w:rFonts w:cstheme="minorHAnsi"/>
        </w:rPr>
        <w:t>PrEP</w:t>
      </w:r>
      <w:proofErr w:type="spellEnd"/>
      <w:r w:rsidRPr="00ED4002">
        <w:rPr>
          <w:rFonts w:cstheme="minorHAnsi"/>
        </w:rPr>
        <w:t>”) drugs to prevent HIV</w:t>
      </w:r>
      <w:r>
        <w:rPr>
          <w:rFonts w:cstheme="minorHAnsi"/>
        </w:rPr>
        <w:t xml:space="preserve"> </w:t>
      </w:r>
      <w:r w:rsidRPr="00ED4002">
        <w:rPr>
          <w:rFonts w:cstheme="minorHAnsi"/>
        </w:rPr>
        <w:t xml:space="preserve">infection. See </w:t>
      </w:r>
      <w:proofErr w:type="spellStart"/>
      <w:r w:rsidRPr="00ED4002">
        <w:rPr>
          <w:rFonts w:cstheme="minorHAnsi"/>
        </w:rPr>
        <w:t>Defs</w:t>
      </w:r>
      <w:proofErr w:type="spellEnd"/>
      <w:r w:rsidRPr="00ED4002">
        <w:rPr>
          <w:rFonts w:cstheme="minorHAnsi"/>
        </w:rPr>
        <w:t xml:space="preserve">.’ App. 385, ECF No. 65. PSTF issued an “A” recommendation for </w:t>
      </w:r>
      <w:proofErr w:type="spellStart"/>
      <w:r w:rsidRPr="00ED4002">
        <w:rPr>
          <w:rFonts w:cstheme="minorHAnsi"/>
        </w:rPr>
        <w:t>PrEP</w:t>
      </w:r>
      <w:proofErr w:type="spellEnd"/>
      <w:r w:rsidRPr="00ED4002">
        <w:rPr>
          <w:rFonts w:cstheme="minorHAnsi"/>
        </w:rPr>
        <w:t xml:space="preserve"> drugs</w:t>
      </w:r>
      <w:r>
        <w:rPr>
          <w:rFonts w:cstheme="minorHAnsi"/>
        </w:rPr>
        <w:t xml:space="preserve"> </w:t>
      </w:r>
      <w:r w:rsidRPr="00ED4002">
        <w:rPr>
          <w:rFonts w:cstheme="minorHAnsi"/>
        </w:rPr>
        <w:t>for individuals who are at high risk of HIV acquisition, which meant that health insurance plans</w:t>
      </w:r>
      <w:r>
        <w:rPr>
          <w:rFonts w:cstheme="minorHAnsi"/>
        </w:rPr>
        <w:t xml:space="preserve"> </w:t>
      </w:r>
      <w:r w:rsidRPr="00ED4002">
        <w:rPr>
          <w:rFonts w:cstheme="minorHAnsi"/>
        </w:rPr>
        <w:t xml:space="preserve">must cover </w:t>
      </w:r>
      <w:proofErr w:type="spellStart"/>
      <w:r w:rsidRPr="00ED4002">
        <w:rPr>
          <w:rFonts w:cstheme="minorHAnsi"/>
        </w:rPr>
        <w:t>PrEP</w:t>
      </w:r>
      <w:proofErr w:type="spellEnd"/>
      <w:r w:rsidRPr="00ED4002">
        <w:rPr>
          <w:rFonts w:cstheme="minorHAnsi"/>
        </w:rPr>
        <w:t xml:space="preserve"> drugs under 42 U.S.C. § 300gg-13(a)(1).</w:t>
      </w:r>
    </w:p>
    <w:p w14:paraId="4FC1BF45" w14:textId="56D395C7" w:rsidR="00ED4002" w:rsidRDefault="00ED4002" w:rsidP="00ED4002">
      <w:pPr>
        <w:spacing w:after="0" w:line="240" w:lineRule="auto"/>
        <w:rPr>
          <w:rFonts w:cstheme="minorHAnsi"/>
        </w:rPr>
      </w:pPr>
    </w:p>
    <w:p w14:paraId="0E25D9B9" w14:textId="5334B584" w:rsidR="00ED4002" w:rsidRDefault="00ED4002" w:rsidP="00ED4002">
      <w:pPr>
        <w:spacing w:after="0" w:line="240" w:lineRule="auto"/>
        <w:rPr>
          <w:rFonts w:cstheme="minorHAnsi"/>
        </w:rPr>
      </w:pPr>
      <w:r>
        <w:rPr>
          <w:rFonts w:cstheme="minorHAnsi"/>
          <w:u w:val="single"/>
        </w:rPr>
        <w:t>Under #2</w:t>
      </w:r>
    </w:p>
    <w:p w14:paraId="35562048" w14:textId="0C87420C" w:rsidR="00ED4002" w:rsidRDefault="00ED4002" w:rsidP="00ED4002">
      <w:pPr>
        <w:spacing w:after="0" w:line="240" w:lineRule="auto"/>
        <w:rPr>
          <w:rFonts w:cstheme="minorHAnsi"/>
        </w:rPr>
      </w:pPr>
      <w:r>
        <w:rPr>
          <w:rFonts w:cstheme="minorHAnsi"/>
        </w:rPr>
        <w:t xml:space="preserve">Starting in 2007, </w:t>
      </w:r>
      <w:r w:rsidRPr="002D1F9A">
        <w:rPr>
          <w:rFonts w:cstheme="minorHAnsi"/>
        </w:rPr>
        <w:t>the Advisory Committee on Immunization Practices (“ACIP”)</w:t>
      </w:r>
      <w:r>
        <w:rPr>
          <w:rFonts w:cstheme="minorHAnsi"/>
        </w:rPr>
        <w:t xml:space="preserve"> began recommending </w:t>
      </w:r>
    </w:p>
    <w:p w14:paraId="7D26CA34" w14:textId="7E8095A9" w:rsidR="00ED4002" w:rsidRPr="00ED4002" w:rsidRDefault="00ED4002" w:rsidP="00ED4002">
      <w:pPr>
        <w:spacing w:after="0" w:line="240" w:lineRule="auto"/>
        <w:rPr>
          <w:rFonts w:cstheme="minorHAnsi"/>
        </w:rPr>
      </w:pPr>
      <w:r w:rsidRPr="00ED4002">
        <w:rPr>
          <w:rFonts w:cstheme="minorHAnsi"/>
        </w:rPr>
        <w:t>the HPV vaccine for</w:t>
      </w:r>
      <w:r>
        <w:rPr>
          <w:rFonts w:cstheme="minorHAnsi"/>
        </w:rPr>
        <w:t xml:space="preserve"> girls </w:t>
      </w:r>
      <w:r w:rsidRPr="00ED4002">
        <w:rPr>
          <w:rFonts w:cstheme="minorHAnsi"/>
        </w:rPr>
        <w:t>age</w:t>
      </w:r>
      <w:r>
        <w:rPr>
          <w:rFonts w:cstheme="minorHAnsi"/>
        </w:rPr>
        <w:t>d</w:t>
      </w:r>
      <w:r w:rsidRPr="00ED4002">
        <w:rPr>
          <w:rFonts w:cstheme="minorHAnsi"/>
        </w:rPr>
        <w:t xml:space="preserve"> eleven to twelve.</w:t>
      </w:r>
      <w:r>
        <w:rPr>
          <w:rFonts w:cstheme="minorHAnsi"/>
        </w:rPr>
        <w:t xml:space="preserve"> </w:t>
      </w:r>
      <w:r w:rsidRPr="00ED4002">
        <w:rPr>
          <w:rFonts w:cstheme="minorHAnsi"/>
        </w:rPr>
        <w:t>ACIP currently recommends the HPV vaccine for</w:t>
      </w:r>
    </w:p>
    <w:p w14:paraId="3BFD88AC" w14:textId="4F6F0D81" w:rsidR="00ED4002" w:rsidRDefault="00ED4002" w:rsidP="00ED4002">
      <w:pPr>
        <w:spacing w:after="0" w:line="240" w:lineRule="auto"/>
        <w:rPr>
          <w:rFonts w:cstheme="minorHAnsi"/>
        </w:rPr>
      </w:pPr>
      <w:r w:rsidRPr="00ED4002">
        <w:rPr>
          <w:rFonts w:cstheme="minorHAnsi"/>
          <w:b/>
          <w:bCs/>
          <w:u w:val="single"/>
        </w:rPr>
        <w:t>all children</w:t>
      </w:r>
      <w:r w:rsidRPr="00ED4002">
        <w:rPr>
          <w:rFonts w:cstheme="minorHAnsi"/>
        </w:rPr>
        <w:t xml:space="preserve"> ages eleven to twelve, plus various catch-up vaccination plans for older populations. Health insurance plans must cover</w:t>
      </w:r>
      <w:r>
        <w:rPr>
          <w:rFonts w:cstheme="minorHAnsi"/>
        </w:rPr>
        <w:t xml:space="preserve"> </w:t>
      </w:r>
      <w:r w:rsidRPr="00ED4002">
        <w:rPr>
          <w:rFonts w:cstheme="minorHAnsi"/>
        </w:rPr>
        <w:t>the HPV vaccine under 42 U.S.C. § 300gg-13(a)(2).</w:t>
      </w:r>
    </w:p>
    <w:p w14:paraId="7265E899" w14:textId="4A993483" w:rsidR="00ED4002" w:rsidRDefault="00ED4002" w:rsidP="00ED4002">
      <w:pPr>
        <w:spacing w:after="0" w:line="240" w:lineRule="auto"/>
        <w:rPr>
          <w:rFonts w:cstheme="minorHAnsi"/>
        </w:rPr>
      </w:pPr>
    </w:p>
    <w:p w14:paraId="72805409" w14:textId="60B38D0F" w:rsidR="00ED4002" w:rsidRDefault="004575DE" w:rsidP="00ED4002">
      <w:pPr>
        <w:spacing w:after="0" w:line="240" w:lineRule="auto"/>
        <w:rPr>
          <w:rFonts w:cstheme="minorHAnsi"/>
        </w:rPr>
      </w:pPr>
      <w:r>
        <w:rPr>
          <w:rFonts w:cstheme="minorHAnsi"/>
          <w:u w:val="single"/>
        </w:rPr>
        <w:t>Under #3</w:t>
      </w:r>
    </w:p>
    <w:p w14:paraId="633753EF" w14:textId="23A1B339" w:rsidR="004575DE" w:rsidRDefault="004575DE" w:rsidP="004575DE">
      <w:pPr>
        <w:spacing w:after="0" w:line="240" w:lineRule="auto"/>
        <w:rPr>
          <w:rFonts w:cstheme="minorHAnsi"/>
        </w:rPr>
      </w:pPr>
      <w:r w:rsidRPr="002D1F9A">
        <w:rPr>
          <w:rFonts w:cstheme="minorHAnsi"/>
        </w:rPr>
        <w:t>Health Resources and Services Administration (“HRSA”</w:t>
      </w:r>
      <w:r>
        <w:rPr>
          <w:rFonts w:cstheme="minorHAnsi"/>
        </w:rPr>
        <w:t xml:space="preserve">). </w:t>
      </w:r>
      <w:r w:rsidRPr="004575DE">
        <w:rPr>
          <w:rFonts w:cstheme="minorHAnsi"/>
        </w:rPr>
        <w:t>In 2010, HRSA promulgated a series of comprehensive guidelines for infants, children, and adolescents. The guidelines include counseling for alcohol abuse, screening and behavioral counseling for sexually transmitted infections, screening and behavior interventions for obesity, and counseling for tobacco use.</w:t>
      </w:r>
      <w:r w:rsidRPr="004575DE">
        <w:t xml:space="preserve"> </w:t>
      </w:r>
      <w:r w:rsidRPr="004575DE">
        <w:rPr>
          <w:rFonts w:cstheme="minorHAnsi"/>
        </w:rPr>
        <w:t>In 2011, HRSA promulgated additional guidelines requiring nonexempt employers to</w:t>
      </w:r>
      <w:r>
        <w:rPr>
          <w:rFonts w:cstheme="minorHAnsi"/>
        </w:rPr>
        <w:t xml:space="preserve"> </w:t>
      </w:r>
      <w:r w:rsidRPr="004575DE">
        <w:rPr>
          <w:rFonts w:cstheme="minorHAnsi"/>
        </w:rPr>
        <w:t>cover “[a]</w:t>
      </w:r>
      <w:proofErr w:type="spellStart"/>
      <w:r w:rsidRPr="004575DE">
        <w:rPr>
          <w:rFonts w:cstheme="minorHAnsi"/>
        </w:rPr>
        <w:t>ll</w:t>
      </w:r>
      <w:proofErr w:type="spellEnd"/>
      <w:r w:rsidRPr="004575DE">
        <w:rPr>
          <w:rFonts w:cstheme="minorHAnsi"/>
        </w:rPr>
        <w:t xml:space="preserve"> Food and Drug Administration [(FDA)] approved contraceptive methods, sterilization</w:t>
      </w:r>
      <w:r>
        <w:rPr>
          <w:rFonts w:cstheme="minorHAnsi"/>
        </w:rPr>
        <w:t xml:space="preserve"> </w:t>
      </w:r>
      <w:r w:rsidRPr="004575DE">
        <w:rPr>
          <w:rFonts w:cstheme="minorHAnsi"/>
        </w:rPr>
        <w:t>procedures, and patient education and counseling for all women with reproductive capacity.” Health insurance plans must cover the services</w:t>
      </w:r>
      <w:r>
        <w:rPr>
          <w:rFonts w:cstheme="minorHAnsi"/>
        </w:rPr>
        <w:t xml:space="preserve"> </w:t>
      </w:r>
      <w:r w:rsidRPr="004575DE">
        <w:rPr>
          <w:rFonts w:cstheme="minorHAnsi"/>
        </w:rPr>
        <w:t>recommended by HRSA under 42 U.S.C. § 300gg-13(a)(3) and (a)(4).</w:t>
      </w:r>
    </w:p>
    <w:p w14:paraId="0D655AEA" w14:textId="2D642852" w:rsidR="004575DE" w:rsidRDefault="004575DE" w:rsidP="004575DE">
      <w:pPr>
        <w:spacing w:after="0" w:line="240" w:lineRule="auto"/>
        <w:rPr>
          <w:rFonts w:cstheme="minorHAnsi"/>
        </w:rPr>
      </w:pPr>
    </w:p>
    <w:p w14:paraId="766BAC13" w14:textId="24AE405B" w:rsidR="004575DE" w:rsidRDefault="004575DE" w:rsidP="004575DE">
      <w:pPr>
        <w:spacing w:after="0" w:line="240" w:lineRule="auto"/>
        <w:rPr>
          <w:rFonts w:cstheme="minorHAnsi"/>
        </w:rPr>
      </w:pPr>
      <w:r>
        <w:rPr>
          <w:rFonts w:cstheme="minorHAnsi"/>
        </w:rPr>
        <w:t>So:</w:t>
      </w:r>
    </w:p>
    <w:p w14:paraId="4BE7A67E" w14:textId="6084AFAB" w:rsidR="004575DE" w:rsidRDefault="00CF5DE9" w:rsidP="004575DE">
      <w:pPr>
        <w:spacing w:after="0" w:line="240" w:lineRule="auto"/>
        <w:rPr>
          <w:rFonts w:cstheme="minorHAnsi"/>
        </w:rPr>
      </w:pPr>
      <w:r w:rsidRPr="00CF5DE9">
        <w:rPr>
          <w:rFonts w:cstheme="minorHAnsi"/>
          <w:b/>
          <w:bCs/>
        </w:rPr>
        <w:t xml:space="preserve">Individual named </w:t>
      </w:r>
      <w:r w:rsidR="004575DE" w:rsidRPr="00CF5DE9">
        <w:rPr>
          <w:rFonts w:cstheme="minorHAnsi"/>
          <w:b/>
          <w:bCs/>
        </w:rPr>
        <w:t>Plaintiffs</w:t>
      </w:r>
      <w:r w:rsidR="004575DE" w:rsidRPr="004575DE">
        <w:rPr>
          <w:rFonts w:cstheme="minorHAnsi"/>
        </w:rPr>
        <w:t xml:space="preserve"> John Kelley, Joel Starnes, Zach Maxwell, and Ashley Maxwell </w:t>
      </w:r>
      <w:r w:rsidR="004575DE" w:rsidRPr="00CF5DE9">
        <w:rPr>
          <w:rFonts w:cstheme="minorHAnsi"/>
          <w:b/>
          <w:bCs/>
        </w:rPr>
        <w:t xml:space="preserve">provide health coverage for themselves and their families. They want the option to purchase health insurance that excludes or limits coverage of </w:t>
      </w:r>
      <w:proofErr w:type="spellStart"/>
      <w:r w:rsidR="004575DE" w:rsidRPr="00CF5DE9">
        <w:rPr>
          <w:rFonts w:cstheme="minorHAnsi"/>
          <w:b/>
          <w:bCs/>
        </w:rPr>
        <w:t>PrEP</w:t>
      </w:r>
      <w:proofErr w:type="spellEnd"/>
      <w:r w:rsidR="004575DE" w:rsidRPr="00CF5DE9">
        <w:rPr>
          <w:rFonts w:cstheme="minorHAnsi"/>
          <w:b/>
          <w:bCs/>
        </w:rPr>
        <w:t xml:space="preserve"> drugs, contraception, the HPV vaccine, and the screenings and behavioral counseling for STDs and drug use</w:t>
      </w:r>
      <w:r w:rsidR="004575DE" w:rsidRPr="004575DE">
        <w:rPr>
          <w:rFonts w:cstheme="minorHAnsi"/>
        </w:rPr>
        <w:t xml:space="preserve">. They say neither they nor their families require such preventive care. Id. </w:t>
      </w:r>
      <w:r w:rsidR="004575DE" w:rsidRPr="00CF5DE9">
        <w:rPr>
          <w:rFonts w:cstheme="minorHAnsi"/>
          <w:b/>
          <w:bCs/>
        </w:rPr>
        <w:t>They</w:t>
      </w:r>
      <w:r w:rsidR="004575DE" w:rsidRPr="004575DE">
        <w:rPr>
          <w:rFonts w:cstheme="minorHAnsi"/>
        </w:rPr>
        <w:t xml:space="preserve"> also</w:t>
      </w:r>
      <w:r w:rsidR="004575DE">
        <w:rPr>
          <w:rFonts w:cstheme="minorHAnsi"/>
        </w:rPr>
        <w:t xml:space="preserve"> </w:t>
      </w:r>
      <w:r w:rsidR="004575DE" w:rsidRPr="00CF5DE9">
        <w:rPr>
          <w:rFonts w:cstheme="minorHAnsi"/>
          <w:b/>
          <w:bCs/>
        </w:rPr>
        <w:t>claim that compulsory coverage for those services violates their religious beliefs by making them complicit in facilitating homosexual behavior, drug use, and sexual activity outside of marriage between one man and one woman</w:t>
      </w:r>
      <w:r w:rsidR="004575DE" w:rsidRPr="004575DE">
        <w:rPr>
          <w:rFonts w:cstheme="minorHAnsi"/>
        </w:rPr>
        <w:t>.</w:t>
      </w:r>
    </w:p>
    <w:p w14:paraId="65008F82" w14:textId="3072809C" w:rsidR="00CF5DE9" w:rsidRDefault="00CF5DE9" w:rsidP="004575DE">
      <w:pPr>
        <w:spacing w:after="0" w:line="240" w:lineRule="auto"/>
        <w:rPr>
          <w:rFonts w:cstheme="minorHAnsi"/>
        </w:rPr>
      </w:pPr>
    </w:p>
    <w:p w14:paraId="33BCA4B5" w14:textId="7BC660AB" w:rsidR="00CF5DE9" w:rsidRDefault="00CF5DE9" w:rsidP="004575DE">
      <w:pPr>
        <w:spacing w:after="0" w:line="240" w:lineRule="auto"/>
        <w:rPr>
          <w:rFonts w:cstheme="minorHAnsi"/>
        </w:rPr>
      </w:pPr>
      <w:r>
        <w:rPr>
          <w:rFonts w:cstheme="minorHAnsi"/>
        </w:rPr>
        <w:t>(</w:t>
      </w:r>
      <w:proofErr w:type="gramStart"/>
      <w:r>
        <w:rPr>
          <w:rFonts w:cstheme="minorHAnsi"/>
        </w:rPr>
        <w:t>hold</w:t>
      </w:r>
      <w:proofErr w:type="gramEnd"/>
      <w:r>
        <w:rPr>
          <w:rFonts w:cstheme="minorHAnsi"/>
        </w:rPr>
        <w:t xml:space="preserve"> on)</w:t>
      </w:r>
    </w:p>
    <w:p w14:paraId="0477722A" w14:textId="75637A6A" w:rsidR="00CF5DE9" w:rsidRDefault="00CF5DE9" w:rsidP="004575DE">
      <w:pPr>
        <w:spacing w:after="0" w:line="240" w:lineRule="auto"/>
        <w:rPr>
          <w:rFonts w:cstheme="minorHAnsi"/>
        </w:rPr>
      </w:pPr>
    </w:p>
    <w:p w14:paraId="045C2774" w14:textId="3E63EB75" w:rsidR="00CF5DE9" w:rsidRPr="008B2BAE" w:rsidRDefault="00CF5DE9" w:rsidP="004575DE">
      <w:pPr>
        <w:spacing w:after="0" w:line="240" w:lineRule="auto"/>
        <w:rPr>
          <w:rFonts w:cstheme="minorHAnsi"/>
        </w:rPr>
      </w:pPr>
      <w:r w:rsidRPr="00CF5DE9">
        <w:rPr>
          <w:b/>
          <w:bCs/>
        </w:rPr>
        <w:t>Plaintiff Kelley Orthodontics</w:t>
      </w:r>
      <w:r>
        <w:t xml:space="preserve"> provides health insurance for its employees. Kelley Orthodontics is a Christian professional association that wishes to provide health insurance for its employees that excludes coverage of preventive care such as contraceptives and </w:t>
      </w:r>
      <w:proofErr w:type="spellStart"/>
      <w:r>
        <w:t>PrEP</w:t>
      </w:r>
      <w:proofErr w:type="spellEnd"/>
      <w:r>
        <w:t xml:space="preserve"> drugs. Id. at 39. Plaintiff John Kelley, the owner of Kelley Orthodontics, says that providing such coverage violates his religious beliefs. Id. Plaintiff </w:t>
      </w:r>
      <w:r w:rsidRPr="00CF5DE9">
        <w:rPr>
          <w:b/>
          <w:bCs/>
        </w:rPr>
        <w:t>Braidwood Management Inc</w:t>
      </w:r>
      <w:r>
        <w:t xml:space="preserve">. is a </w:t>
      </w:r>
      <w:r w:rsidRPr="00CF5DE9">
        <w:rPr>
          <w:b/>
          <w:bCs/>
        </w:rPr>
        <w:t>Christian for-profit corporation</w:t>
      </w:r>
      <w:r>
        <w:t xml:space="preserve"> owned by Steven </w:t>
      </w:r>
      <w:proofErr w:type="spellStart"/>
      <w:r>
        <w:t>Hotze</w:t>
      </w:r>
      <w:proofErr w:type="spellEnd"/>
      <w:r>
        <w:t xml:space="preserve">. Id. at 69. Braidwood provides health insurance to its approximately seventy employees through a self-insured plan, and </w:t>
      </w:r>
      <w:proofErr w:type="spellStart"/>
      <w:r>
        <w:t>Hotze</w:t>
      </w:r>
      <w:proofErr w:type="spellEnd"/>
      <w:r>
        <w:t xml:space="preserve"> </w:t>
      </w:r>
      <w:r w:rsidRPr="00CF5DE9">
        <w:rPr>
          <w:b/>
          <w:bCs/>
        </w:rPr>
        <w:t xml:space="preserve">wishes to provide health insurance for Braidwood’s employees that excludes </w:t>
      </w:r>
      <w:r w:rsidRPr="00CF5DE9">
        <w:rPr>
          <w:b/>
          <w:bCs/>
        </w:rPr>
        <w:lastRenderedPageBreak/>
        <w:t xml:space="preserve">coverage of preventive care such as contraceptives and </w:t>
      </w:r>
      <w:proofErr w:type="spellStart"/>
      <w:r w:rsidRPr="00CF5DE9">
        <w:rPr>
          <w:b/>
          <w:bCs/>
        </w:rPr>
        <w:t>PrEP</w:t>
      </w:r>
      <w:proofErr w:type="spellEnd"/>
      <w:r w:rsidRPr="00CF5DE9">
        <w:rPr>
          <w:b/>
          <w:bCs/>
        </w:rPr>
        <w:t xml:space="preserve"> drugs</w:t>
      </w:r>
      <w:r>
        <w:t xml:space="preserve">. Id. at 70–71. </w:t>
      </w:r>
      <w:proofErr w:type="spellStart"/>
      <w:r>
        <w:t>Hotze</w:t>
      </w:r>
      <w:proofErr w:type="spellEnd"/>
      <w:r>
        <w:t>, like Plaintiffs Kelley, Starnes, and the Maxwells, objects to coverage of those services on religious grounds. Id. at 72–</w:t>
      </w:r>
      <w:r w:rsidRPr="008B2BAE">
        <w:rPr>
          <w:rFonts w:cstheme="minorHAnsi"/>
        </w:rPr>
        <w:t xml:space="preserve">73. </w:t>
      </w:r>
      <w:proofErr w:type="spellStart"/>
      <w:r w:rsidRPr="008B2BAE">
        <w:rPr>
          <w:rFonts w:cstheme="minorHAnsi"/>
        </w:rPr>
        <w:t>Hotze</w:t>
      </w:r>
      <w:proofErr w:type="spellEnd"/>
      <w:r w:rsidRPr="008B2BAE">
        <w:rPr>
          <w:rFonts w:cstheme="minorHAnsi"/>
        </w:rPr>
        <w:t xml:space="preserve"> </w:t>
      </w:r>
      <w:r w:rsidRPr="008B2BAE">
        <w:rPr>
          <w:rFonts w:cstheme="minorHAnsi"/>
          <w:b/>
          <w:bCs/>
        </w:rPr>
        <w:t>also wants the option to impose copays or deductibles for preventive care in Braidwood’s self-insured plan</w:t>
      </w:r>
      <w:r w:rsidRPr="008B2BAE">
        <w:rPr>
          <w:rFonts w:cstheme="minorHAnsi"/>
        </w:rPr>
        <w:t>. Id. at 70, 73. Plaintiffs argue that Defendants’ enforcement of the preventive-care mandates limits their ability to obtain or provide insurance that excludes their unwanted coverage.</w:t>
      </w:r>
    </w:p>
    <w:p w14:paraId="6D817368" w14:textId="1A354AA1" w:rsidR="004575DE" w:rsidRPr="008B2BAE" w:rsidRDefault="004575DE" w:rsidP="004575DE">
      <w:pPr>
        <w:spacing w:after="0" w:line="240" w:lineRule="auto"/>
        <w:rPr>
          <w:rFonts w:cstheme="minorHAnsi"/>
        </w:rPr>
      </w:pPr>
    </w:p>
    <w:p w14:paraId="097CC10F" w14:textId="3110DB8E" w:rsidR="004575DE" w:rsidRPr="008B2BAE" w:rsidRDefault="00CF5DE9" w:rsidP="004575DE">
      <w:pPr>
        <w:spacing w:after="0" w:line="240" w:lineRule="auto"/>
        <w:rPr>
          <w:rFonts w:cstheme="minorHAnsi"/>
        </w:rPr>
      </w:pPr>
      <w:r w:rsidRPr="008B2BAE">
        <w:rPr>
          <w:rFonts w:cstheme="minorHAnsi"/>
          <w:b/>
          <w:bCs/>
          <w:u w:val="single"/>
        </w:rPr>
        <w:t>I don’t know where to begin with how wrong that is</w:t>
      </w:r>
      <w:r w:rsidRPr="008B2BAE">
        <w:rPr>
          <w:rFonts w:cstheme="minorHAnsi"/>
        </w:rPr>
        <w:t>.</w:t>
      </w:r>
    </w:p>
    <w:p w14:paraId="2699FE27" w14:textId="35C20F61" w:rsidR="004575DE" w:rsidRPr="008B2BAE" w:rsidRDefault="00CF5DE9" w:rsidP="004575DE">
      <w:pPr>
        <w:spacing w:after="0" w:line="240" w:lineRule="auto"/>
        <w:rPr>
          <w:rFonts w:cstheme="minorHAnsi"/>
        </w:rPr>
      </w:pPr>
      <w:r w:rsidRPr="008B2BAE">
        <w:rPr>
          <w:rFonts w:cstheme="minorHAnsi"/>
        </w:rPr>
        <w:t>HPV is not about “promiscuous sex”</w:t>
      </w:r>
    </w:p>
    <w:p w14:paraId="70D4BC13" w14:textId="70F13072" w:rsidR="00CF5DE9" w:rsidRPr="008B2BAE" w:rsidRDefault="00CF5DE9" w:rsidP="004575DE">
      <w:pPr>
        <w:spacing w:after="0" w:line="240" w:lineRule="auto"/>
        <w:rPr>
          <w:rFonts w:cstheme="minorHAnsi"/>
        </w:rPr>
      </w:pPr>
      <w:proofErr w:type="spellStart"/>
      <w:r w:rsidRPr="008B2BAE">
        <w:rPr>
          <w:rFonts w:cstheme="minorHAnsi"/>
        </w:rPr>
        <w:t>PrEP</w:t>
      </w:r>
      <w:proofErr w:type="spellEnd"/>
      <w:r w:rsidRPr="008B2BAE">
        <w:rPr>
          <w:rFonts w:cstheme="minorHAnsi"/>
        </w:rPr>
        <w:t xml:space="preserve"> is not about being gay.</w:t>
      </w:r>
    </w:p>
    <w:p w14:paraId="1C10CFA8" w14:textId="6C241F9D" w:rsidR="00CF5DE9" w:rsidRPr="008B2BAE" w:rsidRDefault="00000000" w:rsidP="004575DE">
      <w:pPr>
        <w:spacing w:after="0" w:line="240" w:lineRule="auto"/>
        <w:rPr>
          <w:rFonts w:cstheme="minorHAnsi"/>
        </w:rPr>
      </w:pPr>
      <w:hyperlink r:id="rId15" w:history="1">
        <w:r w:rsidR="00CF5DE9" w:rsidRPr="008B2BAE">
          <w:rPr>
            <w:rStyle w:val="Hyperlink"/>
            <w:rFonts w:cstheme="minorHAnsi"/>
          </w:rPr>
          <w:t>https://en.wikipedia.org/wiki/Pre-exposure_prophylaxis</w:t>
        </w:r>
      </w:hyperlink>
    </w:p>
    <w:p w14:paraId="40DDBA2A" w14:textId="153BC3B0" w:rsidR="00CF5DE9" w:rsidRPr="008B2BAE" w:rsidRDefault="00CF5DE9" w:rsidP="004575DE">
      <w:pPr>
        <w:spacing w:after="0" w:line="240" w:lineRule="auto"/>
        <w:rPr>
          <w:rFonts w:cstheme="minorHAnsi"/>
        </w:rPr>
      </w:pPr>
    </w:p>
    <w:p w14:paraId="30CEF607" w14:textId="656B90CD" w:rsidR="00CF5DE9" w:rsidRPr="008B2BAE" w:rsidRDefault="00CF5DE9" w:rsidP="004575DE">
      <w:pPr>
        <w:spacing w:after="0" w:line="240" w:lineRule="auto"/>
        <w:rPr>
          <w:rFonts w:cstheme="minorHAnsi"/>
        </w:rPr>
      </w:pPr>
      <w:r w:rsidRPr="008B2BAE">
        <w:rPr>
          <w:rFonts w:cstheme="minorHAnsi"/>
        </w:rPr>
        <w:t>-reduces the risk of acquiring HIV by up to 99%</w:t>
      </w:r>
      <w:r w:rsidR="008B2BAE" w:rsidRPr="008B2BAE">
        <w:rPr>
          <w:rFonts w:cstheme="minorHAnsi"/>
        </w:rPr>
        <w:t>, according to the CDC</w:t>
      </w:r>
    </w:p>
    <w:p w14:paraId="3AC4D494" w14:textId="73B3D2A2" w:rsidR="008B2BAE" w:rsidRPr="008B2BAE" w:rsidRDefault="008B2BAE" w:rsidP="004575DE">
      <w:pPr>
        <w:spacing w:after="0" w:line="240" w:lineRule="auto"/>
        <w:rPr>
          <w:rFonts w:cstheme="minorHAnsi"/>
        </w:rPr>
      </w:pPr>
      <w:r w:rsidRPr="008B2BAE">
        <w:rPr>
          <w:rFonts w:cstheme="minorHAnsi"/>
        </w:rPr>
        <w:t>-AIDS is not about being gay</w:t>
      </w:r>
    </w:p>
    <w:p w14:paraId="1180F984" w14:textId="77777777" w:rsidR="00CF5DE9" w:rsidRPr="008B2BAE" w:rsidRDefault="00CF5DE9" w:rsidP="004575DE">
      <w:pPr>
        <w:spacing w:after="0" w:line="240" w:lineRule="auto"/>
        <w:rPr>
          <w:rFonts w:cstheme="minorHAnsi"/>
        </w:rPr>
      </w:pPr>
    </w:p>
    <w:p w14:paraId="13408612" w14:textId="0376D154" w:rsidR="004575DE" w:rsidRPr="008B2BAE" w:rsidRDefault="008B2BAE" w:rsidP="004575DE">
      <w:pPr>
        <w:spacing w:after="0" w:line="240" w:lineRule="auto"/>
        <w:rPr>
          <w:rFonts w:cstheme="minorHAnsi"/>
          <w:color w:val="202122"/>
          <w:shd w:val="clear" w:color="auto" w:fill="FFFFFF"/>
        </w:rPr>
      </w:pPr>
      <w:proofErr w:type="spellStart"/>
      <w:r w:rsidRPr="008B2BAE">
        <w:rPr>
          <w:rFonts w:cstheme="minorHAnsi"/>
          <w:color w:val="202122"/>
          <w:shd w:val="clear" w:color="auto" w:fill="FFFFFF"/>
        </w:rPr>
        <w:t>PrEP</w:t>
      </w:r>
      <w:proofErr w:type="spellEnd"/>
      <w:r w:rsidRPr="008B2BAE">
        <w:rPr>
          <w:rFonts w:cstheme="minorHAnsi"/>
          <w:color w:val="202122"/>
          <w:shd w:val="clear" w:color="auto" w:fill="FFFFFF"/>
        </w:rPr>
        <w:t xml:space="preserve"> is one of a number of </w:t>
      </w:r>
      <w:hyperlink r:id="rId16" w:tooltip="HIV" w:history="1">
        <w:r w:rsidRPr="008B2BAE">
          <w:rPr>
            <w:rStyle w:val="Hyperlink"/>
            <w:rFonts w:cstheme="minorHAnsi"/>
            <w:color w:val="0645AD"/>
            <w:u w:val="none"/>
            <w:shd w:val="clear" w:color="auto" w:fill="FFFFFF"/>
          </w:rPr>
          <w:t>HIV</w:t>
        </w:r>
      </w:hyperlink>
      <w:r w:rsidRPr="008B2BAE">
        <w:rPr>
          <w:rFonts w:cstheme="minorHAnsi"/>
          <w:color w:val="202122"/>
          <w:shd w:val="clear" w:color="auto" w:fill="FFFFFF"/>
        </w:rPr>
        <w:t> prevention strategies for people who are HIV negative but who have a higher risk of acquiring HIV, including sexually active adults at increased risk of contracting HIV, people who engage in intravenous drug use (see </w:t>
      </w:r>
      <w:hyperlink r:id="rId17" w:tooltip="Drug injection" w:history="1">
        <w:r w:rsidRPr="008B2BAE">
          <w:rPr>
            <w:rStyle w:val="Hyperlink"/>
            <w:rFonts w:cstheme="minorHAnsi"/>
            <w:color w:val="0645AD"/>
            <w:u w:val="none"/>
            <w:shd w:val="clear" w:color="auto" w:fill="FFFFFF"/>
          </w:rPr>
          <w:t>drug injection</w:t>
        </w:r>
      </w:hyperlink>
      <w:r w:rsidRPr="008B2BAE">
        <w:rPr>
          <w:rFonts w:cstheme="minorHAnsi"/>
          <w:color w:val="202122"/>
          <w:shd w:val="clear" w:color="auto" w:fill="FFFFFF"/>
        </w:rPr>
        <w:t>), and </w:t>
      </w:r>
      <w:proofErr w:type="spellStart"/>
      <w:r w:rsidR="00000000">
        <w:fldChar w:fldCharType="begin"/>
      </w:r>
      <w:r w:rsidR="00000000">
        <w:instrText xml:space="preserve"> HYPERLINK "https://en.wikipedia.org/wiki/Serodiscordant" \o "Serodiscordant" </w:instrText>
      </w:r>
      <w:r w:rsidR="00000000">
        <w:fldChar w:fldCharType="separate"/>
      </w:r>
      <w:r w:rsidRPr="008B2BAE">
        <w:rPr>
          <w:rStyle w:val="Hyperlink"/>
          <w:rFonts w:cstheme="minorHAnsi"/>
          <w:color w:val="0645AD"/>
          <w:u w:val="none"/>
          <w:shd w:val="clear" w:color="auto" w:fill="FFFFFF"/>
        </w:rPr>
        <w:t>serodiscordant</w:t>
      </w:r>
      <w:proofErr w:type="spellEnd"/>
      <w:r w:rsidR="00000000">
        <w:rPr>
          <w:rStyle w:val="Hyperlink"/>
          <w:rFonts w:cstheme="minorHAnsi"/>
          <w:color w:val="0645AD"/>
          <w:u w:val="none"/>
          <w:shd w:val="clear" w:color="auto" w:fill="FFFFFF"/>
        </w:rPr>
        <w:fldChar w:fldCharType="end"/>
      </w:r>
      <w:r w:rsidRPr="008B2BAE">
        <w:rPr>
          <w:rFonts w:cstheme="minorHAnsi"/>
          <w:color w:val="202122"/>
          <w:shd w:val="clear" w:color="auto" w:fill="FFFFFF"/>
        </w:rPr>
        <w:t> sexually active couples (partner is HIV positive).</w:t>
      </w:r>
    </w:p>
    <w:p w14:paraId="00492490" w14:textId="110C5FC3" w:rsidR="008B2BAE" w:rsidRPr="008B2BAE" w:rsidRDefault="008B2BAE" w:rsidP="004575DE">
      <w:pPr>
        <w:spacing w:after="0" w:line="240" w:lineRule="auto"/>
        <w:rPr>
          <w:rFonts w:cstheme="minorHAnsi"/>
          <w:color w:val="202122"/>
          <w:shd w:val="clear" w:color="auto" w:fill="FFFFFF"/>
        </w:rPr>
      </w:pPr>
    </w:p>
    <w:p w14:paraId="22C27F34" w14:textId="2BF01717" w:rsidR="008B2BAE" w:rsidRPr="008B2BAE" w:rsidRDefault="008B2BAE" w:rsidP="004575DE">
      <w:pPr>
        <w:spacing w:after="0" w:line="240" w:lineRule="auto"/>
        <w:rPr>
          <w:rFonts w:cstheme="minorHAnsi"/>
          <w:color w:val="202122"/>
          <w:shd w:val="clear" w:color="auto" w:fill="FFFFFF"/>
        </w:rPr>
      </w:pPr>
      <w:proofErr w:type="gramStart"/>
      <w:r w:rsidRPr="008B2BAE">
        <w:rPr>
          <w:rFonts w:cstheme="minorHAnsi"/>
          <w:color w:val="202122"/>
          <w:shd w:val="clear" w:color="auto" w:fill="FFFFFF"/>
        </w:rPr>
        <w:t>So</w:t>
      </w:r>
      <w:proofErr w:type="gramEnd"/>
      <w:r w:rsidRPr="008B2BAE">
        <w:rPr>
          <w:rFonts w:cstheme="minorHAnsi"/>
          <w:color w:val="202122"/>
          <w:shd w:val="clear" w:color="auto" w:fill="FFFFFF"/>
        </w:rPr>
        <w:t xml:space="preserve"> you can be straight and monogamous and married, EVERYTHING these Christians say they want and still be recommended </w:t>
      </w:r>
      <w:proofErr w:type="spellStart"/>
      <w:r w:rsidRPr="008B2BAE">
        <w:rPr>
          <w:rFonts w:cstheme="minorHAnsi"/>
          <w:color w:val="202122"/>
          <w:shd w:val="clear" w:color="auto" w:fill="FFFFFF"/>
        </w:rPr>
        <w:t>PrEP</w:t>
      </w:r>
      <w:proofErr w:type="spellEnd"/>
      <w:r w:rsidRPr="008B2BAE">
        <w:rPr>
          <w:rFonts w:cstheme="minorHAnsi"/>
          <w:color w:val="202122"/>
          <w:shd w:val="clear" w:color="auto" w:fill="FFFFFF"/>
        </w:rPr>
        <w:t>, the HPV vaccine, and good god.</w:t>
      </w:r>
    </w:p>
    <w:p w14:paraId="34B29331" w14:textId="41C57D5E" w:rsidR="008B2BAE" w:rsidRPr="008B2BAE" w:rsidRDefault="008B2BAE" w:rsidP="004575DE">
      <w:pPr>
        <w:spacing w:after="0" w:line="240" w:lineRule="auto"/>
        <w:rPr>
          <w:rFonts w:cstheme="minorHAnsi"/>
          <w:color w:val="202122"/>
          <w:shd w:val="clear" w:color="auto" w:fill="FFFFFF"/>
        </w:rPr>
      </w:pPr>
    </w:p>
    <w:p w14:paraId="50674C53" w14:textId="57119B7E" w:rsidR="008B2BAE" w:rsidRDefault="007306C0" w:rsidP="004575DE">
      <w:pPr>
        <w:spacing w:after="0" w:line="240" w:lineRule="auto"/>
        <w:rPr>
          <w:rFonts w:cstheme="minorHAnsi"/>
        </w:rPr>
      </w:pPr>
      <w:r>
        <w:rPr>
          <w:rFonts w:cstheme="minorHAnsi"/>
        </w:rPr>
        <w:t>Held:</w:t>
      </w:r>
    </w:p>
    <w:p w14:paraId="3134C724" w14:textId="7DD48235" w:rsidR="007306C0" w:rsidRPr="007306C0" w:rsidRDefault="007306C0" w:rsidP="007306C0">
      <w:pPr>
        <w:pStyle w:val="ListParagraph"/>
        <w:numPr>
          <w:ilvl w:val="0"/>
          <w:numId w:val="8"/>
        </w:numPr>
        <w:spacing w:after="0" w:line="240" w:lineRule="auto"/>
        <w:rPr>
          <w:rFonts w:cstheme="minorHAnsi"/>
        </w:rPr>
      </w:pPr>
      <w:r>
        <w:t>PSTF violates the Appointments Clause. The Court GRANTS Plaintiffs’ summary judgment motion and DENIES Defendants’ summary judgment motion on Claim 1 as to 42 U.S.C. § 300gg-13(a)(1). The Court reserves ruling on the appropriate remedy.</w:t>
      </w:r>
    </w:p>
    <w:p w14:paraId="5C9426CF" w14:textId="416DE2BE" w:rsidR="007306C0" w:rsidRPr="007306C0" w:rsidRDefault="007306C0" w:rsidP="007306C0">
      <w:pPr>
        <w:pStyle w:val="ListParagraph"/>
        <w:numPr>
          <w:ilvl w:val="0"/>
          <w:numId w:val="8"/>
        </w:numPr>
        <w:spacing w:after="0" w:line="240" w:lineRule="auto"/>
        <w:rPr>
          <w:rFonts w:cstheme="minorHAnsi"/>
        </w:rPr>
      </w:pPr>
      <w:r>
        <w:t xml:space="preserve">The </w:t>
      </w:r>
      <w:proofErr w:type="spellStart"/>
      <w:r>
        <w:t>PrEP</w:t>
      </w:r>
      <w:proofErr w:type="spellEnd"/>
      <w:r>
        <w:t xml:space="preserve"> mandate violates Braidwood’s rights under RFRA. The Court GRANTS Plaintiffs’ summary judgment motion and DENIES Defendants’ summary judgment motion on Claim 5 as to Braidwood. The Court reserves ruling on Claim 5 as to the remaining Plaintiffs and reserves ruling on the appropriate remedy. – </w:t>
      </w:r>
      <w:r>
        <w:rPr>
          <w:b/>
          <w:bCs/>
        </w:rPr>
        <w:t>Uncertain about HPV</w:t>
      </w:r>
    </w:p>
    <w:p w14:paraId="2FA05F74" w14:textId="62167C61" w:rsidR="007306C0" w:rsidRDefault="007306C0" w:rsidP="007306C0">
      <w:pPr>
        <w:spacing w:after="0" w:line="240" w:lineRule="auto"/>
        <w:rPr>
          <w:rFonts w:cstheme="minorHAnsi"/>
        </w:rPr>
      </w:pPr>
    </w:p>
    <w:p w14:paraId="13AE8A81" w14:textId="3A254D41" w:rsidR="007306C0" w:rsidRDefault="007306C0" w:rsidP="007306C0">
      <w:pPr>
        <w:spacing w:after="0" w:line="240" w:lineRule="auto"/>
        <w:rPr>
          <w:rFonts w:cstheme="minorHAnsi"/>
        </w:rPr>
      </w:pPr>
      <w:r>
        <w:rPr>
          <w:rFonts w:cstheme="minorHAnsi"/>
        </w:rPr>
        <w:t>Why?!?!?</w:t>
      </w:r>
    </w:p>
    <w:p w14:paraId="44119699" w14:textId="1F4A00AB" w:rsidR="007306C0" w:rsidRDefault="0078509E" w:rsidP="007306C0">
      <w:pPr>
        <w:spacing w:after="0" w:line="240" w:lineRule="auto"/>
        <w:rPr>
          <w:rFonts w:cstheme="minorHAnsi"/>
        </w:rPr>
      </w:pPr>
      <w:r>
        <w:rPr>
          <w:rFonts w:cstheme="minorHAnsi"/>
        </w:rPr>
        <w:t xml:space="preserve"> </w:t>
      </w:r>
    </w:p>
    <w:p w14:paraId="75086760" w14:textId="7C1272A6" w:rsidR="0078509E" w:rsidRPr="0078509E" w:rsidRDefault="0078509E" w:rsidP="0078509E">
      <w:pPr>
        <w:pStyle w:val="ListParagraph"/>
        <w:numPr>
          <w:ilvl w:val="0"/>
          <w:numId w:val="10"/>
        </w:numPr>
        <w:spacing w:after="0" w:line="240" w:lineRule="auto"/>
        <w:rPr>
          <w:rFonts w:cstheme="minorHAnsi"/>
        </w:rPr>
      </w:pPr>
      <w:r>
        <w:rPr>
          <w:rFonts w:cstheme="minorHAnsi"/>
        </w:rPr>
        <w:t xml:space="preserve">Appointments </w:t>
      </w:r>
    </w:p>
    <w:p w14:paraId="06EA5E48" w14:textId="77777777" w:rsidR="007306C0" w:rsidRDefault="007306C0" w:rsidP="007306C0">
      <w:pPr>
        <w:spacing w:after="0" w:line="240" w:lineRule="auto"/>
      </w:pPr>
      <w:r>
        <w:t xml:space="preserve">The Appointments Clause lays out the permissible methods of appointing “Officers of the United States.” U.S. Const. art. II, § 2, cl. 2. Principal officers must be nominated by the President and confirmed by the Senate. Id. But Congress can authorize the appointment of “inferior Officers” by the President alone, the courts, or “the Heads of Departments.” Id. </w:t>
      </w:r>
    </w:p>
    <w:p w14:paraId="0796C4AA" w14:textId="694B5E1F" w:rsidR="007306C0" w:rsidRDefault="007306C0" w:rsidP="007306C0">
      <w:pPr>
        <w:spacing w:after="0" w:line="240" w:lineRule="auto"/>
      </w:pPr>
    </w:p>
    <w:p w14:paraId="0B66B032" w14:textId="3ACEEE21" w:rsidR="007306C0" w:rsidRDefault="007306C0" w:rsidP="007306C0">
      <w:pPr>
        <w:spacing w:after="0" w:line="240" w:lineRule="auto"/>
      </w:pPr>
      <w:r>
        <w:t>A person is an officer of the United States if he (1) occupies a “‘continuing’ position established by law” and (2) exercises “significant authority pursuant to the laws of the United States.”</w:t>
      </w:r>
    </w:p>
    <w:p w14:paraId="2F923CBC" w14:textId="30B904E9" w:rsidR="006E6502" w:rsidRDefault="006E6502" w:rsidP="007306C0">
      <w:pPr>
        <w:spacing w:after="0" w:line="240" w:lineRule="auto"/>
      </w:pPr>
    </w:p>
    <w:p w14:paraId="4CD7DB1D" w14:textId="41215BFA" w:rsidR="006E6502" w:rsidRDefault="006E6502" w:rsidP="007306C0">
      <w:pPr>
        <w:spacing w:after="0" w:line="240" w:lineRule="auto"/>
      </w:pPr>
      <w:r>
        <w:t>First - there is a principal officer – Xavier Becerra, director of HHS. Ratifies the decisions of ACIP and HRSA. So those challenges were preposterous on face, and even this court didn’t try and say they violated that law.</w:t>
      </w:r>
    </w:p>
    <w:p w14:paraId="37D26CD9" w14:textId="77777777" w:rsidR="006E6502" w:rsidRDefault="006E6502" w:rsidP="007306C0">
      <w:pPr>
        <w:spacing w:after="0" w:line="240" w:lineRule="auto"/>
      </w:pPr>
    </w:p>
    <w:p w14:paraId="20BB9FC4" w14:textId="50C74596" w:rsidR="006E6502" w:rsidRDefault="006E6502" w:rsidP="007306C0">
      <w:pPr>
        <w:spacing w:after="0" w:line="240" w:lineRule="auto"/>
      </w:pPr>
      <w:r>
        <w:t>But not PSTF – why? Independence from political decision-making LIKE THIS</w:t>
      </w:r>
    </w:p>
    <w:p w14:paraId="7B0F1335" w14:textId="07C5779E" w:rsidR="006E6502" w:rsidRDefault="006E6502">
      <w:r>
        <w:br w:type="page"/>
      </w:r>
    </w:p>
    <w:p w14:paraId="57AB2F5D" w14:textId="0C60E160" w:rsidR="007306C0" w:rsidRDefault="007306C0" w:rsidP="007306C0">
      <w:pPr>
        <w:spacing w:after="0" w:line="240" w:lineRule="auto"/>
      </w:pPr>
      <w:r>
        <w:lastRenderedPageBreak/>
        <w:t xml:space="preserve">PSTF is different. According to Defendants, the Secretary may not direct PSTF to “give a specific preventive service an ‘A’ or ‘B’ rating, such that it would be covered pursuant to 42 U.S.C. § 300gg-13(a)(1).” </w:t>
      </w:r>
      <w:proofErr w:type="spellStart"/>
      <w:r>
        <w:t>Defs</w:t>
      </w:r>
      <w:proofErr w:type="spellEnd"/>
      <w:r>
        <w:t>.’ Suppl. Filing 3, ECF No. 86. That is because all PSTF members “and any recommendations made by such members, shall be independent and, to the extent practicable, not subject to political pressure.” 42 U.S.C. § 299b-4(a)(6). The Secretary, a political actor, thus does not have authority to direct what services are covered under § 300gg-13(a)(1). Arguably, the phrase “to the extent practicable” permits some level of direction by the Secretary. Id. But whatever that phrase means, it does not provide an exception for the Secretary to decree recommendations unilaterally. That exception would swallow the rule that “recommendations” must be “independent” and “not subject to political pressure.” Id. Because the Secretary lacks authority to determine or direct what services receive an “A” or “B” rating, he cannot ratify PSTF’s decisions on that subject. See Gordon, 819 F.3d at 1191.</w:t>
      </w:r>
    </w:p>
    <w:p w14:paraId="7BB2E2EF" w14:textId="0EFE9647" w:rsidR="006E6502" w:rsidRDefault="006E6502" w:rsidP="007306C0">
      <w:pPr>
        <w:spacing w:after="0" w:line="240" w:lineRule="auto"/>
      </w:pPr>
    </w:p>
    <w:p w14:paraId="57D7E1B5" w14:textId="268E0094" w:rsidR="006E6502" w:rsidRDefault="006E6502" w:rsidP="007306C0">
      <w:pPr>
        <w:spacing w:after="0" w:line="240" w:lineRule="auto"/>
      </w:pPr>
      <w:r>
        <w:t>Is PSTF even an officer?</w:t>
      </w:r>
    </w:p>
    <w:p w14:paraId="06A1F9F3" w14:textId="2607D941" w:rsidR="006E6502" w:rsidRDefault="006E6502" w:rsidP="007306C0">
      <w:pPr>
        <w:spacing w:after="0" w:line="240" w:lineRule="auto"/>
        <w:rPr>
          <w:rFonts w:cstheme="minorHAnsi"/>
        </w:rPr>
      </w:pPr>
      <w:r>
        <w:rPr>
          <w:rFonts w:cstheme="minorHAnsi"/>
        </w:rPr>
        <w:t>-significant authority pursuant to the laws of the US? Dubious.</w:t>
      </w:r>
    </w:p>
    <w:p w14:paraId="16265F1E" w14:textId="52631F02" w:rsidR="006E6502" w:rsidRDefault="006E6502" w:rsidP="007306C0">
      <w:pPr>
        <w:spacing w:after="0" w:line="240" w:lineRule="auto"/>
        <w:rPr>
          <w:rFonts w:cstheme="minorHAnsi"/>
        </w:rPr>
      </w:pPr>
      <w:r>
        <w:rPr>
          <w:rFonts w:cstheme="minorHAnsi"/>
        </w:rPr>
        <w:t xml:space="preserve">-not sure it’s </w:t>
      </w:r>
      <w:proofErr w:type="gramStart"/>
      <w:r>
        <w:rPr>
          <w:rFonts w:cstheme="minorHAnsi"/>
        </w:rPr>
        <w:t>continuing,</w:t>
      </w:r>
      <w:proofErr w:type="gramEnd"/>
      <w:r>
        <w:rPr>
          <w:rFonts w:cstheme="minorHAnsi"/>
        </w:rPr>
        <w:t xml:space="preserve"> they serve part time.  Three times a year for TWO DAYS</w:t>
      </w:r>
    </w:p>
    <w:p w14:paraId="3FA969CA" w14:textId="74283202" w:rsidR="006E6502" w:rsidRDefault="006E6502" w:rsidP="007306C0">
      <w:pPr>
        <w:spacing w:after="0" w:line="240" w:lineRule="auto"/>
        <w:rPr>
          <w:rFonts w:cstheme="minorHAnsi"/>
        </w:rPr>
      </w:pPr>
      <w:r>
        <w:rPr>
          <w:rFonts w:cstheme="minorHAnsi"/>
        </w:rPr>
        <w:t>-unpaid</w:t>
      </w:r>
    </w:p>
    <w:p w14:paraId="45135DE7" w14:textId="13064568" w:rsidR="006E6502" w:rsidRDefault="006E6502" w:rsidP="007306C0">
      <w:pPr>
        <w:spacing w:after="0" w:line="240" w:lineRule="auto"/>
        <w:rPr>
          <w:rFonts w:cstheme="minorHAnsi"/>
        </w:rPr>
      </w:pPr>
    </w:p>
    <w:p w14:paraId="72A15C21" w14:textId="5830C72A" w:rsidR="006E6502" w:rsidRDefault="006E6502" w:rsidP="007306C0">
      <w:pPr>
        <w:spacing w:after="0" w:line="240" w:lineRule="auto"/>
        <w:rPr>
          <w:rFonts w:cstheme="minorHAnsi"/>
        </w:rPr>
      </w:pPr>
      <w:r>
        <w:rPr>
          <w:rFonts w:cstheme="minorHAnsi"/>
        </w:rPr>
        <w:t>-all they do is come u p with what services get an “A” or “B” rating and thus become mandatory. But the mandate was authorized by Congress – this is like our ATF example, does this gun count as a semiautomatic? THEY DIDN’T MAKE THE POLICY, they don’t set out the criteria, they just do an administrative job.</w:t>
      </w:r>
    </w:p>
    <w:p w14:paraId="62557B69" w14:textId="046C4D3B" w:rsidR="006E6502" w:rsidRDefault="006E6502" w:rsidP="007306C0">
      <w:pPr>
        <w:spacing w:after="0" w:line="240" w:lineRule="auto"/>
        <w:rPr>
          <w:rFonts w:cstheme="minorHAnsi"/>
        </w:rPr>
      </w:pPr>
    </w:p>
    <w:p w14:paraId="49DB7AFE" w14:textId="67835912" w:rsidR="006E6502" w:rsidRDefault="006E6502" w:rsidP="007306C0">
      <w:pPr>
        <w:spacing w:after="0" w:line="240" w:lineRule="auto"/>
        <w:rPr>
          <w:rFonts w:cstheme="minorHAnsi"/>
        </w:rPr>
      </w:pPr>
      <w:r>
        <w:rPr>
          <w:rFonts w:cstheme="minorHAnsi"/>
        </w:rPr>
        <w:t>Bonkers.</w:t>
      </w:r>
    </w:p>
    <w:p w14:paraId="34FD080B" w14:textId="6A2A552D" w:rsidR="006E6502" w:rsidRDefault="006E6502" w:rsidP="007306C0">
      <w:pPr>
        <w:spacing w:after="0" w:line="240" w:lineRule="auto"/>
        <w:rPr>
          <w:rFonts w:cstheme="minorHAnsi"/>
        </w:rPr>
      </w:pPr>
    </w:p>
    <w:p w14:paraId="75128E9D" w14:textId="1F4C97CC" w:rsidR="006E6502" w:rsidRDefault="006E6502" w:rsidP="007306C0">
      <w:pPr>
        <w:spacing w:after="0" w:line="240" w:lineRule="auto"/>
        <w:rPr>
          <w:rFonts w:cstheme="minorHAnsi"/>
        </w:rPr>
      </w:pPr>
      <w:r>
        <w:rPr>
          <w:rFonts w:cstheme="minorHAnsi"/>
        </w:rPr>
        <w:t>EVEN THEN, are they “principal officers”?</w:t>
      </w:r>
      <w:r w:rsidR="0078509E">
        <w:rPr>
          <w:rFonts w:cstheme="minorHAnsi"/>
        </w:rPr>
        <w:t xml:space="preserve"> OF COURSE NOT. They don’t make policy.</w:t>
      </w:r>
    </w:p>
    <w:p w14:paraId="1A0D43DE" w14:textId="5868206F" w:rsidR="006E6502" w:rsidRDefault="0078509E" w:rsidP="007306C0">
      <w:pPr>
        <w:spacing w:after="0" w:line="240" w:lineRule="auto"/>
      </w:pPr>
      <w:r>
        <w:t>Inferior officers, then, are “officers whose work is directed and supervised at some level by others who were appointed by Presidential nomination with the advice and consent of the Senate.”</w:t>
      </w:r>
    </w:p>
    <w:p w14:paraId="2DB12C6D" w14:textId="12F1946D" w:rsidR="0078509E" w:rsidRDefault="0078509E" w:rsidP="007306C0">
      <w:pPr>
        <w:spacing w:after="0" w:line="240" w:lineRule="auto"/>
      </w:pPr>
    </w:p>
    <w:p w14:paraId="58D7CD86" w14:textId="78912A02" w:rsidR="0078509E" w:rsidRDefault="0078509E" w:rsidP="007306C0">
      <w:pPr>
        <w:spacing w:after="0" w:line="240" w:lineRule="auto"/>
      </w:pPr>
      <w:r>
        <w:t>Obviously under the supervision of HHS.</w:t>
      </w:r>
    </w:p>
    <w:p w14:paraId="7405991E" w14:textId="15D0009F" w:rsidR="0078509E" w:rsidRDefault="0078509E" w:rsidP="007306C0">
      <w:pPr>
        <w:spacing w:after="0" w:line="240" w:lineRule="auto"/>
      </w:pPr>
    </w:p>
    <w:p w14:paraId="67B49CD1" w14:textId="0F955A30" w:rsidR="0078509E" w:rsidRDefault="0078509E" w:rsidP="007306C0">
      <w:pPr>
        <w:spacing w:after="0" w:line="240" w:lineRule="auto"/>
      </w:pPr>
      <w:r>
        <w:rPr>
          <w:b/>
          <w:bCs/>
        </w:rPr>
        <w:t>This court blows up the entire PSTF because it wants to rule in favor of Christians who hate gay people and are stupidly wrong about facts</w:t>
      </w:r>
      <w:r>
        <w:t>.</w:t>
      </w:r>
    </w:p>
    <w:p w14:paraId="6FB19184" w14:textId="0A2869FF" w:rsidR="0078509E" w:rsidRDefault="0078509E" w:rsidP="007306C0">
      <w:pPr>
        <w:spacing w:after="0" w:line="240" w:lineRule="auto"/>
      </w:pPr>
    </w:p>
    <w:p w14:paraId="4B77049F" w14:textId="384DAB3D" w:rsidR="0078509E" w:rsidRDefault="0078509E" w:rsidP="0078509E">
      <w:pPr>
        <w:pStyle w:val="ListParagraph"/>
        <w:numPr>
          <w:ilvl w:val="0"/>
          <w:numId w:val="9"/>
        </w:numPr>
        <w:spacing w:after="0" w:line="240" w:lineRule="auto"/>
      </w:pPr>
      <w:r>
        <w:t>RFRA</w:t>
      </w:r>
    </w:p>
    <w:p w14:paraId="527262A4" w14:textId="77777777" w:rsidR="0078509E" w:rsidRDefault="0078509E" w:rsidP="0078509E">
      <w:pPr>
        <w:spacing w:after="0" w:line="240" w:lineRule="auto"/>
      </w:pPr>
      <w:r>
        <w:t xml:space="preserve">The </w:t>
      </w:r>
      <w:proofErr w:type="spellStart"/>
      <w:r>
        <w:t>PrEP</w:t>
      </w:r>
      <w:proofErr w:type="spellEnd"/>
      <w:r>
        <w:t xml:space="preserve"> mandate substantially burdens the religious exercise of Braidwood’s owners. Braidwood is a for-profit corporation owned by Steven </w:t>
      </w:r>
      <w:proofErr w:type="spellStart"/>
      <w:r>
        <w:t>Hotze</w:t>
      </w:r>
      <w:proofErr w:type="spellEnd"/>
      <w:r>
        <w:t xml:space="preserve">. Pls.’ App. 69, ECF No. 46. </w:t>
      </w:r>
      <w:proofErr w:type="spellStart"/>
      <w:r>
        <w:t>Hotze</w:t>
      </w:r>
      <w:proofErr w:type="spellEnd"/>
      <w:r>
        <w:t xml:space="preserve"> objects to providing coverage for </w:t>
      </w:r>
      <w:proofErr w:type="spellStart"/>
      <w:r>
        <w:t>PrEP</w:t>
      </w:r>
      <w:proofErr w:type="spellEnd"/>
      <w:r>
        <w:t xml:space="preserve"> drugs because he believes that (1) the Bible is “the authoritative and inerrant word of God,” (2) the “Bible condemns sexual activity outside marriage between one man and one woman, including homosexual conduct,” (3) providing coverage of </w:t>
      </w:r>
      <w:proofErr w:type="spellStart"/>
      <w:r>
        <w:t>PrEP</w:t>
      </w:r>
      <w:proofErr w:type="spellEnd"/>
      <w:r>
        <w:t xml:space="preserve"> drugs “facilitates and encourages homosexual behavior, intravenous drug use, and sexual activity outside of marriage between one man and one woman,” and (4) providing coverage of </w:t>
      </w:r>
      <w:proofErr w:type="spellStart"/>
      <w:r>
        <w:t>PrEP</w:t>
      </w:r>
      <w:proofErr w:type="spellEnd"/>
      <w:r>
        <w:t xml:space="preserve"> drugs in Braidwood’s self-insured plan would make him complicit in those behaviors. Id. at 72. </w:t>
      </w:r>
    </w:p>
    <w:p w14:paraId="54F2042D" w14:textId="77777777" w:rsidR="0078509E" w:rsidRDefault="0078509E" w:rsidP="0078509E">
      <w:pPr>
        <w:spacing w:after="0" w:line="240" w:lineRule="auto"/>
      </w:pPr>
    </w:p>
    <w:p w14:paraId="6D72FC73" w14:textId="0DB21459" w:rsidR="0078509E" w:rsidRDefault="0078509E" w:rsidP="0078509E">
      <w:pPr>
        <w:spacing w:after="0" w:line="240" w:lineRule="auto"/>
      </w:pPr>
      <w:r>
        <w:t xml:space="preserve">Yet the ACA requires Braidwood to provide coverage for </w:t>
      </w:r>
      <w:proofErr w:type="spellStart"/>
      <w:r>
        <w:t>PrEP</w:t>
      </w:r>
      <w:proofErr w:type="spellEnd"/>
      <w:r>
        <w:t xml:space="preserve"> drugs. See 26 U.S.C.§ 4980H(c)(2); 42 U.S.C. § 300gg-13(a)(1); 45 C.F.R. § 147.130(b)(1). If Braidwood does not provide coverage for </w:t>
      </w:r>
      <w:proofErr w:type="spellStart"/>
      <w:r>
        <w:t>PrEP</w:t>
      </w:r>
      <w:proofErr w:type="spellEnd"/>
      <w:r>
        <w:t xml:space="preserve"> drugs, it faces a substantial monetary penalty. See 26 U.S.C. §§ 4980D, 4980H.</w:t>
      </w:r>
    </w:p>
    <w:p w14:paraId="03C34EB6" w14:textId="77777777" w:rsidR="0078509E" w:rsidRDefault="0078509E" w:rsidP="0078509E">
      <w:pPr>
        <w:spacing w:after="0" w:line="240" w:lineRule="auto"/>
      </w:pPr>
    </w:p>
    <w:p w14:paraId="49F311F7" w14:textId="2A1F1923" w:rsidR="0078509E" w:rsidRPr="0078509E" w:rsidRDefault="0078509E" w:rsidP="007306C0">
      <w:pPr>
        <w:spacing w:after="0" w:line="240" w:lineRule="auto"/>
      </w:pPr>
      <w:r>
        <w:lastRenderedPageBreak/>
        <w:t xml:space="preserve">Braidwood is not merely alleging a traditional “pocketbook injury.” California v. Texas, 141 S. Ct. 2104, 2114 (2021). Distinct from his risk of pecuniary harm, </w:t>
      </w:r>
      <w:proofErr w:type="spellStart"/>
      <w:r>
        <w:t>Hotze</w:t>
      </w:r>
      <w:proofErr w:type="spellEnd"/>
      <w:r>
        <w:t xml:space="preserve"> asserts an ongoing dignitary harm, claiming that merely “providing this coverage in Braidwood’s self-insured plan would make [him] complicit” in behaviors that violate his religious beliefs. Pls.’ App. 72, ECF No. 46. Therefore, Braidwood faces not only a potential future injury in the form of paying for preventive care, but also a current injury in the form of underwriting services that violate </w:t>
      </w:r>
      <w:proofErr w:type="spellStart"/>
      <w:r>
        <w:t>Hotze’s</w:t>
      </w:r>
      <w:proofErr w:type="spellEnd"/>
      <w:r>
        <w:t xml:space="preserve"> religious beliefs.</w:t>
      </w:r>
    </w:p>
    <w:p w14:paraId="46B46E20" w14:textId="76AF4E51" w:rsidR="0078509E" w:rsidRDefault="0078509E" w:rsidP="007306C0">
      <w:pPr>
        <w:spacing w:after="0" w:line="240" w:lineRule="auto"/>
        <w:rPr>
          <w:rFonts w:cstheme="minorHAnsi"/>
        </w:rPr>
      </w:pPr>
    </w:p>
    <w:p w14:paraId="3E5C6E17" w14:textId="11F6423D" w:rsidR="0078509E" w:rsidRPr="006227EB" w:rsidRDefault="006227EB" w:rsidP="007306C0">
      <w:pPr>
        <w:spacing w:after="0" w:line="240" w:lineRule="auto"/>
        <w:rPr>
          <w:b/>
          <w:bCs/>
        </w:rPr>
      </w:pPr>
      <w:r w:rsidRPr="006227EB">
        <w:rPr>
          <w:b/>
          <w:bCs/>
        </w:rPr>
        <w:t xml:space="preserve">Rather than disputing the law, Defendants dispute </w:t>
      </w:r>
      <w:proofErr w:type="spellStart"/>
      <w:r w:rsidRPr="006227EB">
        <w:rPr>
          <w:b/>
          <w:bCs/>
        </w:rPr>
        <w:t>Hotze’s</w:t>
      </w:r>
      <w:proofErr w:type="spellEnd"/>
      <w:r w:rsidRPr="006227EB">
        <w:rPr>
          <w:b/>
          <w:bCs/>
        </w:rPr>
        <w:t xml:space="preserve"> beliefs. They argue that </w:t>
      </w:r>
      <w:proofErr w:type="spellStart"/>
      <w:r w:rsidRPr="006227EB">
        <w:rPr>
          <w:b/>
          <w:bCs/>
        </w:rPr>
        <w:t>Hotze’s</w:t>
      </w:r>
      <w:proofErr w:type="spellEnd"/>
      <w:r w:rsidRPr="006227EB">
        <w:rPr>
          <w:b/>
          <w:bCs/>
        </w:rPr>
        <w:t xml:space="preserve"> claim that </w:t>
      </w:r>
      <w:proofErr w:type="spellStart"/>
      <w:r w:rsidRPr="006227EB">
        <w:rPr>
          <w:b/>
          <w:bCs/>
        </w:rPr>
        <w:t>PrEP</w:t>
      </w:r>
      <w:proofErr w:type="spellEnd"/>
      <w:r w:rsidRPr="006227EB">
        <w:rPr>
          <w:b/>
          <w:bCs/>
        </w:rPr>
        <w:t xml:space="preserve"> drugs facilitate various kinds of behavior is an empirical one that requires factual support. See </w:t>
      </w:r>
      <w:proofErr w:type="spellStart"/>
      <w:r w:rsidRPr="006227EB">
        <w:rPr>
          <w:b/>
          <w:bCs/>
        </w:rPr>
        <w:t>Defs</w:t>
      </w:r>
      <w:proofErr w:type="spellEnd"/>
      <w:r w:rsidRPr="006227EB">
        <w:rPr>
          <w:b/>
          <w:bCs/>
        </w:rPr>
        <w:t xml:space="preserve">.’ </w:t>
      </w:r>
      <w:proofErr w:type="spellStart"/>
      <w:r w:rsidRPr="006227EB">
        <w:rPr>
          <w:b/>
          <w:bCs/>
        </w:rPr>
        <w:t>Summ</w:t>
      </w:r>
      <w:proofErr w:type="spellEnd"/>
      <w:r w:rsidRPr="006227EB">
        <w:rPr>
          <w:b/>
          <w:bCs/>
        </w:rPr>
        <w:t xml:space="preserve">. J. Br. 66–67, ECF No. 64. But Defendants inappropriately contest the correctness of </w:t>
      </w:r>
      <w:proofErr w:type="spellStart"/>
      <w:r w:rsidRPr="006227EB">
        <w:rPr>
          <w:b/>
          <w:bCs/>
        </w:rPr>
        <w:t>Hotze’s</w:t>
      </w:r>
      <w:proofErr w:type="spellEnd"/>
      <w:r w:rsidRPr="006227EB">
        <w:rPr>
          <w:b/>
          <w:bCs/>
        </w:rPr>
        <w:t xml:space="preserve"> beliefs, when courts may test only the sincerity of those beliefs. The Supreme Court has “made it abundantly clear that, under RFRA, [HHS] must accept the sincerely held complicity-based objections of religious entities.” Little Sisters of the Poor, 140 S. Ct. at 2383. Defendants may not “tell the plaintiffs that their beliefs are flawed” because the connection between the morally objectionable conduct and complicity in the conduct “is simply too attenuated.” Hobby Lobby Stores, 573 U.S. at 723–24. In other words, “[</w:t>
      </w:r>
      <w:proofErr w:type="spellStart"/>
      <w:r w:rsidRPr="006227EB">
        <w:rPr>
          <w:b/>
          <w:bCs/>
        </w:rPr>
        <w:t>i</w:t>
      </w:r>
      <w:proofErr w:type="spellEnd"/>
      <w:r w:rsidRPr="006227EB">
        <w:rPr>
          <w:b/>
          <w:bCs/>
        </w:rPr>
        <w:t>]f an employer has a religious objection to the use of a covered contraceptive, and if the employer has a sincere religious belief that compliance with the mandate makes it complicit in that conduct, then RFRA requires that the belief be honored.” Little Sisters of the Poor, 140 S. Ct. at 2390 (Alito, J., concurring).</w:t>
      </w:r>
    </w:p>
    <w:p w14:paraId="2F57DE60" w14:textId="58FAD5E6" w:rsidR="006227EB" w:rsidRDefault="006227EB" w:rsidP="007306C0">
      <w:pPr>
        <w:spacing w:after="0" w:line="240" w:lineRule="auto"/>
      </w:pPr>
    </w:p>
    <w:p w14:paraId="29ECCE45" w14:textId="584086FA" w:rsidR="006227EB" w:rsidRDefault="006227EB" w:rsidP="007306C0">
      <w:pPr>
        <w:spacing w:after="0" w:line="240" w:lineRule="auto"/>
      </w:pPr>
      <w:r>
        <w:t xml:space="preserve">Braidwood has shown that the </w:t>
      </w:r>
      <w:proofErr w:type="spellStart"/>
      <w:r>
        <w:t>PrEP</w:t>
      </w:r>
      <w:proofErr w:type="spellEnd"/>
      <w:r>
        <w:t xml:space="preserve"> mandate substantially burdens its religious exercise. The burden thus shifts to Defendants to show that the </w:t>
      </w:r>
      <w:proofErr w:type="spellStart"/>
      <w:r>
        <w:t>PrEP</w:t>
      </w:r>
      <w:proofErr w:type="spellEnd"/>
      <w:r>
        <w:t xml:space="preserve"> mandate furthers a compelling governmental interest and is the least restrictive means of furthering that interest. Defendants have not carried that burden.</w:t>
      </w:r>
    </w:p>
    <w:p w14:paraId="3E8702B5" w14:textId="77777777" w:rsidR="006227EB" w:rsidRPr="007306C0" w:rsidRDefault="006227EB" w:rsidP="007306C0">
      <w:pPr>
        <w:spacing w:after="0" w:line="240" w:lineRule="auto"/>
        <w:rPr>
          <w:rFonts w:cstheme="minorHAnsi"/>
        </w:rPr>
      </w:pPr>
    </w:p>
    <w:sectPr w:rsidR="006227EB" w:rsidRPr="007306C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1720" w14:textId="77777777" w:rsidR="008A47BE" w:rsidRDefault="008A47BE" w:rsidP="00761621">
      <w:pPr>
        <w:spacing w:after="0" w:line="240" w:lineRule="auto"/>
      </w:pPr>
      <w:r>
        <w:separator/>
      </w:r>
    </w:p>
  </w:endnote>
  <w:endnote w:type="continuationSeparator" w:id="0">
    <w:p w14:paraId="5BC09015" w14:textId="77777777" w:rsidR="008A47BE" w:rsidRDefault="008A47BE" w:rsidP="007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323792"/>
      <w:docPartObj>
        <w:docPartGallery w:val="Page Numbers (Bottom of Page)"/>
        <w:docPartUnique/>
      </w:docPartObj>
    </w:sdtPr>
    <w:sdtEndPr>
      <w:rPr>
        <w:noProof/>
      </w:rPr>
    </w:sdtEndPr>
    <w:sdtContent>
      <w:p w14:paraId="22CC93AF" w14:textId="5DB1CA0F" w:rsidR="00761621" w:rsidRDefault="00761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80D5B" w14:textId="77777777" w:rsidR="00761621" w:rsidRDefault="0076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A601" w14:textId="77777777" w:rsidR="008A47BE" w:rsidRDefault="008A47BE" w:rsidP="00761621">
      <w:pPr>
        <w:spacing w:after="0" w:line="240" w:lineRule="auto"/>
      </w:pPr>
      <w:r>
        <w:separator/>
      </w:r>
    </w:p>
  </w:footnote>
  <w:footnote w:type="continuationSeparator" w:id="0">
    <w:p w14:paraId="318BC30C" w14:textId="77777777" w:rsidR="008A47BE" w:rsidRDefault="008A47BE" w:rsidP="0076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C5"/>
    <w:multiLevelType w:val="hybridMultilevel"/>
    <w:tmpl w:val="35D0EE48"/>
    <w:lvl w:ilvl="0" w:tplc="59545D5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D2880"/>
    <w:multiLevelType w:val="hybridMultilevel"/>
    <w:tmpl w:val="769838D8"/>
    <w:lvl w:ilvl="0" w:tplc="85908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765E3"/>
    <w:multiLevelType w:val="hybridMultilevel"/>
    <w:tmpl w:val="8DD8FF8A"/>
    <w:lvl w:ilvl="0" w:tplc="15E6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61AF2"/>
    <w:multiLevelType w:val="hybridMultilevel"/>
    <w:tmpl w:val="27BA96C2"/>
    <w:lvl w:ilvl="0" w:tplc="0ADE34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1632E"/>
    <w:multiLevelType w:val="hybridMultilevel"/>
    <w:tmpl w:val="890C0B58"/>
    <w:lvl w:ilvl="0" w:tplc="1B40B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F61F0"/>
    <w:multiLevelType w:val="hybridMultilevel"/>
    <w:tmpl w:val="6804DDC4"/>
    <w:lvl w:ilvl="0" w:tplc="1BAE2D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C2D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5C416AE"/>
    <w:multiLevelType w:val="hybridMultilevel"/>
    <w:tmpl w:val="7912086C"/>
    <w:lvl w:ilvl="0" w:tplc="7C0C52B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D3C26"/>
    <w:multiLevelType w:val="hybridMultilevel"/>
    <w:tmpl w:val="A9BE7EEC"/>
    <w:lvl w:ilvl="0" w:tplc="2CE47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D6F91"/>
    <w:multiLevelType w:val="hybridMultilevel"/>
    <w:tmpl w:val="3C444FA2"/>
    <w:lvl w:ilvl="0" w:tplc="57385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51312">
    <w:abstractNumId w:val="0"/>
  </w:num>
  <w:num w:numId="2" w16cid:durableId="831481852">
    <w:abstractNumId w:val="5"/>
  </w:num>
  <w:num w:numId="3" w16cid:durableId="901990312">
    <w:abstractNumId w:val="1"/>
  </w:num>
  <w:num w:numId="4" w16cid:durableId="2070836763">
    <w:abstractNumId w:val="9"/>
  </w:num>
  <w:num w:numId="5" w16cid:durableId="624508975">
    <w:abstractNumId w:val="4"/>
  </w:num>
  <w:num w:numId="6" w16cid:durableId="1621759168">
    <w:abstractNumId w:val="7"/>
  </w:num>
  <w:num w:numId="7" w16cid:durableId="484516137">
    <w:abstractNumId w:val="6"/>
  </w:num>
  <w:num w:numId="8" w16cid:durableId="235214539">
    <w:abstractNumId w:val="8"/>
  </w:num>
  <w:num w:numId="9" w16cid:durableId="1944801188">
    <w:abstractNumId w:val="3"/>
  </w:num>
  <w:num w:numId="10" w16cid:durableId="209219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A51"/>
    <w:rsid w:val="0000623E"/>
    <w:rsid w:val="00040C02"/>
    <w:rsid w:val="00054C92"/>
    <w:rsid w:val="00075B1E"/>
    <w:rsid w:val="00097A51"/>
    <w:rsid w:val="00113BF8"/>
    <w:rsid w:val="00131798"/>
    <w:rsid w:val="00173EC2"/>
    <w:rsid w:val="0020508F"/>
    <w:rsid w:val="0020652B"/>
    <w:rsid w:val="00271AAE"/>
    <w:rsid w:val="002C7324"/>
    <w:rsid w:val="002D1F9A"/>
    <w:rsid w:val="00332AD6"/>
    <w:rsid w:val="00347807"/>
    <w:rsid w:val="00390AE6"/>
    <w:rsid w:val="003B3346"/>
    <w:rsid w:val="003F223B"/>
    <w:rsid w:val="00446A04"/>
    <w:rsid w:val="0045423C"/>
    <w:rsid w:val="004575DE"/>
    <w:rsid w:val="00472879"/>
    <w:rsid w:val="004A08FB"/>
    <w:rsid w:val="004A5DF1"/>
    <w:rsid w:val="00533C19"/>
    <w:rsid w:val="005440E0"/>
    <w:rsid w:val="00576F89"/>
    <w:rsid w:val="00621EAA"/>
    <w:rsid w:val="006227EB"/>
    <w:rsid w:val="0065157A"/>
    <w:rsid w:val="006C0E68"/>
    <w:rsid w:val="006C2F25"/>
    <w:rsid w:val="006E6502"/>
    <w:rsid w:val="00702EEE"/>
    <w:rsid w:val="00726D36"/>
    <w:rsid w:val="007306C0"/>
    <w:rsid w:val="00761621"/>
    <w:rsid w:val="00773705"/>
    <w:rsid w:val="007811CC"/>
    <w:rsid w:val="00781A40"/>
    <w:rsid w:val="0078509E"/>
    <w:rsid w:val="007C695B"/>
    <w:rsid w:val="00800EE2"/>
    <w:rsid w:val="008A47BE"/>
    <w:rsid w:val="008B2BAE"/>
    <w:rsid w:val="008C78DE"/>
    <w:rsid w:val="00903233"/>
    <w:rsid w:val="00A37227"/>
    <w:rsid w:val="00A56F5B"/>
    <w:rsid w:val="00A70CBD"/>
    <w:rsid w:val="00AA29BF"/>
    <w:rsid w:val="00AC1268"/>
    <w:rsid w:val="00AD37CB"/>
    <w:rsid w:val="00B07CD8"/>
    <w:rsid w:val="00B827FB"/>
    <w:rsid w:val="00BA1EC3"/>
    <w:rsid w:val="00C3159E"/>
    <w:rsid w:val="00CF5DE9"/>
    <w:rsid w:val="00E90EC8"/>
    <w:rsid w:val="00ED4002"/>
    <w:rsid w:val="00F06CBB"/>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C757"/>
  <w15:chartTrackingRefBased/>
  <w15:docId w15:val="{26215ADB-D692-4BD2-9051-D9E94226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51"/>
    <w:pPr>
      <w:ind w:left="720"/>
      <w:contextualSpacing/>
    </w:pPr>
  </w:style>
  <w:style w:type="character" w:styleId="Hyperlink">
    <w:name w:val="Hyperlink"/>
    <w:basedOn w:val="DefaultParagraphFont"/>
    <w:uiPriority w:val="99"/>
    <w:unhideWhenUsed/>
    <w:rsid w:val="00A70CBD"/>
    <w:rPr>
      <w:color w:val="0563C1" w:themeColor="hyperlink"/>
      <w:u w:val="single"/>
    </w:rPr>
  </w:style>
  <w:style w:type="character" w:styleId="UnresolvedMention">
    <w:name w:val="Unresolved Mention"/>
    <w:basedOn w:val="DefaultParagraphFont"/>
    <w:uiPriority w:val="99"/>
    <w:semiHidden/>
    <w:unhideWhenUsed/>
    <w:rsid w:val="00A70CBD"/>
    <w:rPr>
      <w:color w:val="605E5C"/>
      <w:shd w:val="clear" w:color="auto" w:fill="E1DFDD"/>
    </w:rPr>
  </w:style>
  <w:style w:type="character" w:styleId="Emphasis">
    <w:name w:val="Emphasis"/>
    <w:basedOn w:val="DefaultParagraphFont"/>
    <w:uiPriority w:val="20"/>
    <w:qFormat/>
    <w:rsid w:val="00621EAA"/>
    <w:rPr>
      <w:i/>
      <w:iCs/>
    </w:rPr>
  </w:style>
  <w:style w:type="character" w:customStyle="1" w:styleId="cosearchterm">
    <w:name w:val="co_searchterm"/>
    <w:basedOn w:val="DefaultParagraphFont"/>
    <w:rsid w:val="00621EAA"/>
  </w:style>
  <w:style w:type="character" w:styleId="Strong">
    <w:name w:val="Strong"/>
    <w:basedOn w:val="DefaultParagraphFont"/>
    <w:uiPriority w:val="22"/>
    <w:qFormat/>
    <w:rsid w:val="00621EAA"/>
    <w:rPr>
      <w:b/>
      <w:bCs/>
    </w:rPr>
  </w:style>
  <w:style w:type="paragraph" w:styleId="Header">
    <w:name w:val="header"/>
    <w:basedOn w:val="Normal"/>
    <w:link w:val="HeaderChar"/>
    <w:uiPriority w:val="99"/>
    <w:unhideWhenUsed/>
    <w:rsid w:val="0076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621"/>
  </w:style>
  <w:style w:type="paragraph" w:styleId="Footer">
    <w:name w:val="footer"/>
    <w:basedOn w:val="Normal"/>
    <w:link w:val="FooterChar"/>
    <w:uiPriority w:val="99"/>
    <w:unhideWhenUsed/>
    <w:rsid w:val="0076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621"/>
  </w:style>
  <w:style w:type="character" w:styleId="FollowedHyperlink">
    <w:name w:val="FollowedHyperlink"/>
    <w:basedOn w:val="DefaultParagraphFont"/>
    <w:uiPriority w:val="99"/>
    <w:semiHidden/>
    <w:unhideWhenUsed/>
    <w:rsid w:val="00903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249">
      <w:bodyDiv w:val="1"/>
      <w:marLeft w:val="0"/>
      <w:marRight w:val="0"/>
      <w:marTop w:val="0"/>
      <w:marBottom w:val="0"/>
      <w:divBdr>
        <w:top w:val="none" w:sz="0" w:space="0" w:color="auto"/>
        <w:left w:val="none" w:sz="0" w:space="0" w:color="auto"/>
        <w:bottom w:val="none" w:sz="0" w:space="0" w:color="auto"/>
        <w:right w:val="none" w:sz="0" w:space="0" w:color="auto"/>
      </w:divBdr>
    </w:div>
    <w:div w:id="629045907">
      <w:bodyDiv w:val="1"/>
      <w:marLeft w:val="0"/>
      <w:marRight w:val="0"/>
      <w:marTop w:val="0"/>
      <w:marBottom w:val="0"/>
      <w:divBdr>
        <w:top w:val="none" w:sz="0" w:space="0" w:color="auto"/>
        <w:left w:val="none" w:sz="0" w:space="0" w:color="auto"/>
        <w:bottom w:val="none" w:sz="0" w:space="0" w:color="auto"/>
        <w:right w:val="none" w:sz="0" w:space="0" w:color="auto"/>
      </w:divBdr>
      <w:divsChild>
        <w:div w:id="1400128207">
          <w:marLeft w:val="0"/>
          <w:marRight w:val="150"/>
          <w:marTop w:val="0"/>
          <w:marBottom w:val="0"/>
          <w:divBdr>
            <w:top w:val="single" w:sz="6" w:space="0" w:color="999999"/>
            <w:left w:val="single" w:sz="6" w:space="0" w:color="999999"/>
            <w:bottom w:val="single" w:sz="6" w:space="0" w:color="999999"/>
            <w:right w:val="single" w:sz="6" w:space="0" w:color="999999"/>
          </w:divBdr>
        </w:div>
        <w:div w:id="1630936314">
          <w:marLeft w:val="150"/>
          <w:marRight w:val="150"/>
          <w:marTop w:val="0"/>
          <w:marBottom w:val="0"/>
          <w:divBdr>
            <w:top w:val="none" w:sz="0" w:space="0" w:color="auto"/>
            <w:left w:val="none" w:sz="0" w:space="0" w:color="auto"/>
            <w:bottom w:val="none" w:sz="0" w:space="0" w:color="auto"/>
            <w:right w:val="none" w:sz="0" w:space="0" w:color="auto"/>
          </w:divBdr>
          <w:divsChild>
            <w:div w:id="641740586">
              <w:marLeft w:val="0"/>
              <w:marRight w:val="0"/>
              <w:marTop w:val="0"/>
              <w:marBottom w:val="0"/>
              <w:divBdr>
                <w:top w:val="none" w:sz="0" w:space="0" w:color="auto"/>
                <w:left w:val="none" w:sz="0" w:space="0" w:color="auto"/>
                <w:bottom w:val="none" w:sz="0" w:space="0" w:color="auto"/>
                <w:right w:val="none" w:sz="0" w:space="0" w:color="auto"/>
              </w:divBdr>
            </w:div>
          </w:divsChild>
        </w:div>
        <w:div w:id="1111701053">
          <w:marLeft w:val="0"/>
          <w:marRight w:val="150"/>
          <w:marTop w:val="0"/>
          <w:marBottom w:val="0"/>
          <w:divBdr>
            <w:top w:val="single" w:sz="6" w:space="0" w:color="999999"/>
            <w:left w:val="single" w:sz="6" w:space="0" w:color="999999"/>
            <w:bottom w:val="single" w:sz="6" w:space="0" w:color="999999"/>
            <w:right w:val="single" w:sz="6" w:space="0" w:color="999999"/>
          </w:divBdr>
        </w:div>
        <w:div w:id="2040859587">
          <w:marLeft w:val="150"/>
          <w:marRight w:val="150"/>
          <w:marTop w:val="0"/>
          <w:marBottom w:val="0"/>
          <w:divBdr>
            <w:top w:val="none" w:sz="0" w:space="0" w:color="auto"/>
            <w:left w:val="none" w:sz="0" w:space="0" w:color="auto"/>
            <w:bottom w:val="none" w:sz="0" w:space="0" w:color="auto"/>
            <w:right w:val="none" w:sz="0" w:space="0" w:color="auto"/>
          </w:divBdr>
          <w:divsChild>
            <w:div w:id="1686789600">
              <w:marLeft w:val="0"/>
              <w:marRight w:val="0"/>
              <w:marTop w:val="0"/>
              <w:marBottom w:val="0"/>
              <w:divBdr>
                <w:top w:val="none" w:sz="0" w:space="0" w:color="auto"/>
                <w:left w:val="none" w:sz="0" w:space="0" w:color="auto"/>
                <w:bottom w:val="none" w:sz="0" w:space="0" w:color="auto"/>
                <w:right w:val="none" w:sz="0" w:space="0" w:color="auto"/>
              </w:divBdr>
            </w:div>
          </w:divsChild>
        </w:div>
        <w:div w:id="1200121293">
          <w:marLeft w:val="0"/>
          <w:marRight w:val="150"/>
          <w:marTop w:val="0"/>
          <w:marBottom w:val="0"/>
          <w:divBdr>
            <w:top w:val="single" w:sz="6" w:space="0" w:color="999999"/>
            <w:left w:val="single" w:sz="6" w:space="0" w:color="999999"/>
            <w:bottom w:val="single" w:sz="6" w:space="0" w:color="999999"/>
            <w:right w:val="single" w:sz="6" w:space="0" w:color="999999"/>
          </w:divBdr>
        </w:div>
        <w:div w:id="864370639">
          <w:marLeft w:val="150"/>
          <w:marRight w:val="150"/>
          <w:marTop w:val="0"/>
          <w:marBottom w:val="0"/>
          <w:divBdr>
            <w:top w:val="none" w:sz="0" w:space="0" w:color="auto"/>
            <w:left w:val="none" w:sz="0" w:space="0" w:color="auto"/>
            <w:bottom w:val="none" w:sz="0" w:space="0" w:color="auto"/>
            <w:right w:val="none" w:sz="0" w:space="0" w:color="auto"/>
          </w:divBdr>
          <w:divsChild>
            <w:div w:id="199510443">
              <w:marLeft w:val="0"/>
              <w:marRight w:val="0"/>
              <w:marTop w:val="0"/>
              <w:marBottom w:val="0"/>
              <w:divBdr>
                <w:top w:val="none" w:sz="0" w:space="0" w:color="auto"/>
                <w:left w:val="none" w:sz="0" w:space="0" w:color="auto"/>
                <w:bottom w:val="none" w:sz="0" w:space="0" w:color="auto"/>
                <w:right w:val="none" w:sz="0" w:space="0" w:color="auto"/>
              </w:divBdr>
            </w:div>
          </w:divsChild>
        </w:div>
        <w:div w:id="200753059">
          <w:marLeft w:val="0"/>
          <w:marRight w:val="150"/>
          <w:marTop w:val="0"/>
          <w:marBottom w:val="0"/>
          <w:divBdr>
            <w:top w:val="single" w:sz="6" w:space="0" w:color="999999"/>
            <w:left w:val="single" w:sz="6" w:space="0" w:color="999999"/>
            <w:bottom w:val="single" w:sz="6" w:space="0" w:color="999999"/>
            <w:right w:val="single" w:sz="6" w:space="0" w:color="999999"/>
          </w:divBdr>
        </w:div>
        <w:div w:id="745609331">
          <w:marLeft w:val="150"/>
          <w:marRight w:val="150"/>
          <w:marTop w:val="0"/>
          <w:marBottom w:val="0"/>
          <w:divBdr>
            <w:top w:val="none" w:sz="0" w:space="0" w:color="auto"/>
            <w:left w:val="none" w:sz="0" w:space="0" w:color="auto"/>
            <w:bottom w:val="none" w:sz="0" w:space="0" w:color="auto"/>
            <w:right w:val="none" w:sz="0" w:space="0" w:color="auto"/>
          </w:divBdr>
          <w:divsChild>
            <w:div w:id="20531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1523">
      <w:bodyDiv w:val="1"/>
      <w:marLeft w:val="0"/>
      <w:marRight w:val="0"/>
      <w:marTop w:val="0"/>
      <w:marBottom w:val="0"/>
      <w:divBdr>
        <w:top w:val="none" w:sz="0" w:space="0" w:color="auto"/>
        <w:left w:val="none" w:sz="0" w:space="0" w:color="auto"/>
        <w:bottom w:val="none" w:sz="0" w:space="0" w:color="auto"/>
        <w:right w:val="none" w:sz="0" w:space="0" w:color="auto"/>
      </w:divBdr>
      <w:divsChild>
        <w:div w:id="1796292606">
          <w:marLeft w:val="0"/>
          <w:marRight w:val="0"/>
          <w:marTop w:val="0"/>
          <w:marBottom w:val="0"/>
          <w:divBdr>
            <w:top w:val="none" w:sz="0" w:space="0" w:color="auto"/>
            <w:left w:val="none" w:sz="0" w:space="0" w:color="auto"/>
            <w:bottom w:val="none" w:sz="0" w:space="0" w:color="auto"/>
            <w:right w:val="none" w:sz="0" w:space="0" w:color="auto"/>
          </w:divBdr>
        </w:div>
        <w:div w:id="49808176">
          <w:marLeft w:val="0"/>
          <w:marRight w:val="0"/>
          <w:marTop w:val="0"/>
          <w:marBottom w:val="0"/>
          <w:divBdr>
            <w:top w:val="none" w:sz="0" w:space="0" w:color="auto"/>
            <w:left w:val="none" w:sz="0" w:space="0" w:color="auto"/>
            <w:bottom w:val="none" w:sz="0" w:space="0" w:color="auto"/>
            <w:right w:val="none" w:sz="0" w:space="0" w:color="auto"/>
          </w:divBdr>
        </w:div>
        <w:div w:id="1282539775">
          <w:marLeft w:val="0"/>
          <w:marRight w:val="0"/>
          <w:marTop w:val="0"/>
          <w:marBottom w:val="0"/>
          <w:divBdr>
            <w:top w:val="none" w:sz="0" w:space="0" w:color="auto"/>
            <w:left w:val="none" w:sz="0" w:space="0" w:color="auto"/>
            <w:bottom w:val="none" w:sz="0" w:space="0" w:color="auto"/>
            <w:right w:val="none" w:sz="0" w:space="0" w:color="auto"/>
          </w:divBdr>
        </w:div>
      </w:divsChild>
    </w:div>
    <w:div w:id="1029910177">
      <w:bodyDiv w:val="1"/>
      <w:marLeft w:val="0"/>
      <w:marRight w:val="0"/>
      <w:marTop w:val="0"/>
      <w:marBottom w:val="0"/>
      <w:divBdr>
        <w:top w:val="none" w:sz="0" w:space="0" w:color="auto"/>
        <w:left w:val="none" w:sz="0" w:space="0" w:color="auto"/>
        <w:bottom w:val="none" w:sz="0" w:space="0" w:color="auto"/>
        <w:right w:val="none" w:sz="0" w:space="0" w:color="auto"/>
      </w:divBdr>
      <w:divsChild>
        <w:div w:id="2124231645">
          <w:marLeft w:val="0"/>
          <w:marRight w:val="0"/>
          <w:marTop w:val="0"/>
          <w:marBottom w:val="0"/>
          <w:divBdr>
            <w:top w:val="none" w:sz="0" w:space="0" w:color="auto"/>
            <w:left w:val="none" w:sz="0" w:space="0" w:color="auto"/>
            <w:bottom w:val="none" w:sz="0" w:space="0" w:color="auto"/>
            <w:right w:val="none" w:sz="0" w:space="0" w:color="auto"/>
          </w:divBdr>
        </w:div>
      </w:divsChild>
    </w:div>
    <w:div w:id="1568616005">
      <w:bodyDiv w:val="1"/>
      <w:marLeft w:val="0"/>
      <w:marRight w:val="0"/>
      <w:marTop w:val="0"/>
      <w:marBottom w:val="0"/>
      <w:divBdr>
        <w:top w:val="none" w:sz="0" w:space="0" w:color="auto"/>
        <w:left w:val="none" w:sz="0" w:space="0" w:color="auto"/>
        <w:bottom w:val="none" w:sz="0" w:space="0" w:color="auto"/>
        <w:right w:val="none" w:sz="0" w:space="0" w:color="auto"/>
      </w:divBdr>
      <w:divsChild>
        <w:div w:id="1632516172">
          <w:marLeft w:val="240"/>
          <w:marRight w:val="0"/>
          <w:marTop w:val="60"/>
          <w:marBottom w:val="60"/>
          <w:divBdr>
            <w:top w:val="none" w:sz="0" w:space="0" w:color="auto"/>
            <w:left w:val="none" w:sz="0" w:space="0" w:color="auto"/>
            <w:bottom w:val="none" w:sz="0" w:space="0" w:color="auto"/>
            <w:right w:val="none" w:sz="0" w:space="0" w:color="auto"/>
          </w:divBdr>
          <w:divsChild>
            <w:div w:id="5289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6704">
      <w:bodyDiv w:val="1"/>
      <w:marLeft w:val="0"/>
      <w:marRight w:val="0"/>
      <w:marTop w:val="0"/>
      <w:marBottom w:val="0"/>
      <w:divBdr>
        <w:top w:val="none" w:sz="0" w:space="0" w:color="auto"/>
        <w:left w:val="none" w:sz="0" w:space="0" w:color="auto"/>
        <w:bottom w:val="none" w:sz="0" w:space="0" w:color="auto"/>
        <w:right w:val="none" w:sz="0" w:space="0" w:color="auto"/>
      </w:divBdr>
      <w:divsChild>
        <w:div w:id="540289467">
          <w:marLeft w:val="0"/>
          <w:marRight w:val="0"/>
          <w:marTop w:val="0"/>
          <w:marBottom w:val="0"/>
          <w:divBdr>
            <w:top w:val="none" w:sz="0" w:space="0" w:color="auto"/>
            <w:left w:val="none" w:sz="0" w:space="0" w:color="auto"/>
            <w:bottom w:val="none" w:sz="0" w:space="0" w:color="auto"/>
            <w:right w:val="none" w:sz="0" w:space="0" w:color="auto"/>
          </w:divBdr>
          <w:divsChild>
            <w:div w:id="2711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724">
      <w:bodyDiv w:val="1"/>
      <w:marLeft w:val="0"/>
      <w:marRight w:val="0"/>
      <w:marTop w:val="0"/>
      <w:marBottom w:val="0"/>
      <w:divBdr>
        <w:top w:val="none" w:sz="0" w:space="0" w:color="auto"/>
        <w:left w:val="none" w:sz="0" w:space="0" w:color="auto"/>
        <w:bottom w:val="none" w:sz="0" w:space="0" w:color="auto"/>
        <w:right w:val="none" w:sz="0" w:space="0" w:color="auto"/>
      </w:divBdr>
      <w:divsChild>
        <w:div w:id="1421295269">
          <w:marLeft w:val="0"/>
          <w:marRight w:val="0"/>
          <w:marTop w:val="240"/>
          <w:marBottom w:val="0"/>
          <w:divBdr>
            <w:top w:val="none" w:sz="0" w:space="0" w:color="auto"/>
            <w:left w:val="none" w:sz="0" w:space="0" w:color="auto"/>
            <w:bottom w:val="none" w:sz="0" w:space="0" w:color="auto"/>
            <w:right w:val="none" w:sz="0" w:space="0" w:color="auto"/>
          </w:divBdr>
          <w:divsChild>
            <w:div w:id="255284919">
              <w:marLeft w:val="0"/>
              <w:marRight w:val="0"/>
              <w:marTop w:val="0"/>
              <w:marBottom w:val="0"/>
              <w:divBdr>
                <w:top w:val="none" w:sz="0" w:space="0" w:color="auto"/>
                <w:left w:val="none" w:sz="0" w:space="0" w:color="auto"/>
                <w:bottom w:val="none" w:sz="0" w:space="0" w:color="auto"/>
                <w:right w:val="none" w:sz="0" w:space="0" w:color="auto"/>
              </w:divBdr>
              <w:divsChild>
                <w:div w:id="11018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4332">
          <w:marLeft w:val="0"/>
          <w:marRight w:val="0"/>
          <w:marTop w:val="240"/>
          <w:marBottom w:val="0"/>
          <w:divBdr>
            <w:top w:val="none" w:sz="0" w:space="0" w:color="auto"/>
            <w:left w:val="none" w:sz="0" w:space="0" w:color="auto"/>
            <w:bottom w:val="none" w:sz="0" w:space="0" w:color="auto"/>
            <w:right w:val="none" w:sz="0" w:space="0" w:color="auto"/>
          </w:divBdr>
          <w:divsChild>
            <w:div w:id="796921554">
              <w:marLeft w:val="0"/>
              <w:marRight w:val="0"/>
              <w:marTop w:val="0"/>
              <w:marBottom w:val="0"/>
              <w:divBdr>
                <w:top w:val="none" w:sz="0" w:space="0" w:color="auto"/>
                <w:left w:val="none" w:sz="0" w:space="0" w:color="auto"/>
                <w:bottom w:val="none" w:sz="0" w:space="0" w:color="auto"/>
                <w:right w:val="none" w:sz="0" w:space="0" w:color="auto"/>
              </w:divBdr>
              <w:divsChild>
                <w:div w:id="1523006236">
                  <w:marLeft w:val="0"/>
                  <w:marRight w:val="0"/>
                  <w:marTop w:val="0"/>
                  <w:marBottom w:val="0"/>
                  <w:divBdr>
                    <w:top w:val="none" w:sz="0" w:space="0" w:color="auto"/>
                    <w:left w:val="none" w:sz="0" w:space="0" w:color="auto"/>
                    <w:bottom w:val="none" w:sz="0" w:space="0" w:color="auto"/>
                    <w:right w:val="none" w:sz="0" w:space="0" w:color="auto"/>
                  </w:divBdr>
                </w:div>
              </w:divsChild>
            </w:div>
            <w:div w:id="808791351">
              <w:marLeft w:val="0"/>
              <w:marRight w:val="0"/>
              <w:marTop w:val="240"/>
              <w:marBottom w:val="0"/>
              <w:divBdr>
                <w:top w:val="none" w:sz="0" w:space="0" w:color="auto"/>
                <w:left w:val="none" w:sz="0" w:space="0" w:color="auto"/>
                <w:bottom w:val="none" w:sz="0" w:space="0" w:color="auto"/>
                <w:right w:val="none" w:sz="0" w:space="0" w:color="auto"/>
              </w:divBdr>
              <w:divsChild>
                <w:div w:id="827868346">
                  <w:marLeft w:val="0"/>
                  <w:marRight w:val="0"/>
                  <w:marTop w:val="0"/>
                  <w:marBottom w:val="0"/>
                  <w:divBdr>
                    <w:top w:val="none" w:sz="0" w:space="0" w:color="auto"/>
                    <w:left w:val="none" w:sz="0" w:space="0" w:color="auto"/>
                    <w:bottom w:val="none" w:sz="0" w:space="0" w:color="auto"/>
                    <w:right w:val="none" w:sz="0" w:space="0" w:color="auto"/>
                  </w:divBdr>
                  <w:divsChild>
                    <w:div w:id="7211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0685">
              <w:marLeft w:val="0"/>
              <w:marRight w:val="0"/>
              <w:marTop w:val="240"/>
              <w:marBottom w:val="0"/>
              <w:divBdr>
                <w:top w:val="none" w:sz="0" w:space="0" w:color="auto"/>
                <w:left w:val="none" w:sz="0" w:space="0" w:color="auto"/>
                <w:bottom w:val="none" w:sz="0" w:space="0" w:color="auto"/>
                <w:right w:val="none" w:sz="0" w:space="0" w:color="auto"/>
              </w:divBdr>
              <w:divsChild>
                <w:div w:id="1470778786">
                  <w:marLeft w:val="0"/>
                  <w:marRight w:val="0"/>
                  <w:marTop w:val="0"/>
                  <w:marBottom w:val="0"/>
                  <w:divBdr>
                    <w:top w:val="none" w:sz="0" w:space="0" w:color="auto"/>
                    <w:left w:val="none" w:sz="0" w:space="0" w:color="auto"/>
                    <w:bottom w:val="none" w:sz="0" w:space="0" w:color="auto"/>
                    <w:right w:val="none" w:sz="0" w:space="0" w:color="auto"/>
                  </w:divBdr>
                  <w:divsChild>
                    <w:div w:id="860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7362">
          <w:marLeft w:val="0"/>
          <w:marRight w:val="0"/>
          <w:marTop w:val="240"/>
          <w:marBottom w:val="0"/>
          <w:divBdr>
            <w:top w:val="none" w:sz="0" w:space="0" w:color="auto"/>
            <w:left w:val="none" w:sz="0" w:space="0" w:color="auto"/>
            <w:bottom w:val="none" w:sz="0" w:space="0" w:color="auto"/>
            <w:right w:val="none" w:sz="0" w:space="0" w:color="auto"/>
          </w:divBdr>
          <w:divsChild>
            <w:div w:id="2133207306">
              <w:marLeft w:val="0"/>
              <w:marRight w:val="0"/>
              <w:marTop w:val="0"/>
              <w:marBottom w:val="0"/>
              <w:divBdr>
                <w:top w:val="none" w:sz="0" w:space="0" w:color="auto"/>
                <w:left w:val="none" w:sz="0" w:space="0" w:color="auto"/>
                <w:bottom w:val="none" w:sz="0" w:space="0" w:color="auto"/>
                <w:right w:val="none" w:sz="0" w:space="0" w:color="auto"/>
              </w:divBdr>
              <w:divsChild>
                <w:div w:id="579215989">
                  <w:marLeft w:val="0"/>
                  <w:marRight w:val="0"/>
                  <w:marTop w:val="0"/>
                  <w:marBottom w:val="0"/>
                  <w:divBdr>
                    <w:top w:val="none" w:sz="0" w:space="0" w:color="auto"/>
                    <w:left w:val="none" w:sz="0" w:space="0" w:color="auto"/>
                    <w:bottom w:val="none" w:sz="0" w:space="0" w:color="auto"/>
                    <w:right w:val="none" w:sz="0" w:space="0" w:color="auto"/>
                  </w:divBdr>
                </w:div>
              </w:divsChild>
            </w:div>
            <w:div w:id="1768427510">
              <w:marLeft w:val="0"/>
              <w:marRight w:val="0"/>
              <w:marTop w:val="240"/>
              <w:marBottom w:val="0"/>
              <w:divBdr>
                <w:top w:val="none" w:sz="0" w:space="0" w:color="auto"/>
                <w:left w:val="none" w:sz="0" w:space="0" w:color="auto"/>
                <w:bottom w:val="none" w:sz="0" w:space="0" w:color="auto"/>
                <w:right w:val="none" w:sz="0" w:space="0" w:color="auto"/>
              </w:divBdr>
              <w:divsChild>
                <w:div w:id="1613711384">
                  <w:marLeft w:val="0"/>
                  <w:marRight w:val="0"/>
                  <w:marTop w:val="0"/>
                  <w:marBottom w:val="0"/>
                  <w:divBdr>
                    <w:top w:val="none" w:sz="0" w:space="0" w:color="auto"/>
                    <w:left w:val="none" w:sz="0" w:space="0" w:color="auto"/>
                    <w:bottom w:val="none" w:sz="0" w:space="0" w:color="auto"/>
                    <w:right w:val="none" w:sz="0" w:space="0" w:color="auto"/>
                  </w:divBdr>
                  <w:divsChild>
                    <w:div w:id="21157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2364">
              <w:marLeft w:val="0"/>
              <w:marRight w:val="0"/>
              <w:marTop w:val="240"/>
              <w:marBottom w:val="0"/>
              <w:divBdr>
                <w:top w:val="none" w:sz="0" w:space="0" w:color="auto"/>
                <w:left w:val="none" w:sz="0" w:space="0" w:color="auto"/>
                <w:bottom w:val="none" w:sz="0" w:space="0" w:color="auto"/>
                <w:right w:val="none" w:sz="0" w:space="0" w:color="auto"/>
              </w:divBdr>
              <w:divsChild>
                <w:div w:id="905845276">
                  <w:marLeft w:val="0"/>
                  <w:marRight w:val="0"/>
                  <w:marTop w:val="0"/>
                  <w:marBottom w:val="0"/>
                  <w:divBdr>
                    <w:top w:val="none" w:sz="0" w:space="0" w:color="auto"/>
                    <w:left w:val="none" w:sz="0" w:space="0" w:color="auto"/>
                    <w:bottom w:val="none" w:sz="0" w:space="0" w:color="auto"/>
                    <w:right w:val="none" w:sz="0" w:space="0" w:color="auto"/>
                  </w:divBdr>
                  <w:divsChild>
                    <w:div w:id="1672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4807">
              <w:marLeft w:val="0"/>
              <w:marRight w:val="0"/>
              <w:marTop w:val="240"/>
              <w:marBottom w:val="0"/>
              <w:divBdr>
                <w:top w:val="none" w:sz="0" w:space="0" w:color="auto"/>
                <w:left w:val="none" w:sz="0" w:space="0" w:color="auto"/>
                <w:bottom w:val="none" w:sz="0" w:space="0" w:color="auto"/>
                <w:right w:val="none" w:sz="0" w:space="0" w:color="auto"/>
              </w:divBdr>
              <w:divsChild>
                <w:div w:id="961348898">
                  <w:marLeft w:val="0"/>
                  <w:marRight w:val="0"/>
                  <w:marTop w:val="0"/>
                  <w:marBottom w:val="0"/>
                  <w:divBdr>
                    <w:top w:val="none" w:sz="0" w:space="0" w:color="auto"/>
                    <w:left w:val="none" w:sz="0" w:space="0" w:color="auto"/>
                    <w:bottom w:val="none" w:sz="0" w:space="0" w:color="auto"/>
                    <w:right w:val="none" w:sz="0" w:space="0" w:color="auto"/>
                  </w:divBdr>
                  <w:divsChild>
                    <w:div w:id="20025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9620">
          <w:marLeft w:val="0"/>
          <w:marRight w:val="0"/>
          <w:marTop w:val="240"/>
          <w:marBottom w:val="0"/>
          <w:divBdr>
            <w:top w:val="none" w:sz="0" w:space="0" w:color="auto"/>
            <w:left w:val="none" w:sz="0" w:space="0" w:color="auto"/>
            <w:bottom w:val="none" w:sz="0" w:space="0" w:color="auto"/>
            <w:right w:val="none" w:sz="0" w:space="0" w:color="auto"/>
          </w:divBdr>
          <w:divsChild>
            <w:div w:id="1733776339">
              <w:marLeft w:val="0"/>
              <w:marRight w:val="0"/>
              <w:marTop w:val="0"/>
              <w:marBottom w:val="0"/>
              <w:divBdr>
                <w:top w:val="none" w:sz="0" w:space="0" w:color="auto"/>
                <w:left w:val="none" w:sz="0" w:space="0" w:color="auto"/>
                <w:bottom w:val="none" w:sz="0" w:space="0" w:color="auto"/>
                <w:right w:val="none" w:sz="0" w:space="0" w:color="auto"/>
              </w:divBdr>
              <w:divsChild>
                <w:div w:id="13817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539">
          <w:marLeft w:val="0"/>
          <w:marRight w:val="0"/>
          <w:marTop w:val="240"/>
          <w:marBottom w:val="0"/>
          <w:divBdr>
            <w:top w:val="none" w:sz="0" w:space="0" w:color="auto"/>
            <w:left w:val="none" w:sz="0" w:space="0" w:color="auto"/>
            <w:bottom w:val="none" w:sz="0" w:space="0" w:color="auto"/>
            <w:right w:val="none" w:sz="0" w:space="0" w:color="auto"/>
          </w:divBdr>
          <w:divsChild>
            <w:div w:id="1159152384">
              <w:marLeft w:val="0"/>
              <w:marRight w:val="0"/>
              <w:marTop w:val="0"/>
              <w:marBottom w:val="0"/>
              <w:divBdr>
                <w:top w:val="none" w:sz="0" w:space="0" w:color="auto"/>
                <w:left w:val="none" w:sz="0" w:space="0" w:color="auto"/>
                <w:bottom w:val="none" w:sz="0" w:space="0" w:color="auto"/>
                <w:right w:val="none" w:sz="0" w:space="0" w:color="auto"/>
              </w:divBdr>
              <w:divsChild>
                <w:div w:id="797453357">
                  <w:marLeft w:val="0"/>
                  <w:marRight w:val="0"/>
                  <w:marTop w:val="0"/>
                  <w:marBottom w:val="0"/>
                  <w:divBdr>
                    <w:top w:val="none" w:sz="0" w:space="0" w:color="auto"/>
                    <w:left w:val="none" w:sz="0" w:space="0" w:color="auto"/>
                    <w:bottom w:val="none" w:sz="0" w:space="0" w:color="auto"/>
                    <w:right w:val="none" w:sz="0" w:space="0" w:color="auto"/>
                  </w:divBdr>
                </w:div>
              </w:divsChild>
            </w:div>
            <w:div w:id="1978873452">
              <w:marLeft w:val="0"/>
              <w:marRight w:val="0"/>
              <w:marTop w:val="240"/>
              <w:marBottom w:val="0"/>
              <w:divBdr>
                <w:top w:val="none" w:sz="0" w:space="0" w:color="auto"/>
                <w:left w:val="none" w:sz="0" w:space="0" w:color="auto"/>
                <w:bottom w:val="none" w:sz="0" w:space="0" w:color="auto"/>
                <w:right w:val="none" w:sz="0" w:space="0" w:color="auto"/>
              </w:divBdr>
              <w:divsChild>
                <w:div w:id="1900356590">
                  <w:marLeft w:val="0"/>
                  <w:marRight w:val="0"/>
                  <w:marTop w:val="0"/>
                  <w:marBottom w:val="0"/>
                  <w:divBdr>
                    <w:top w:val="none" w:sz="0" w:space="0" w:color="auto"/>
                    <w:left w:val="none" w:sz="0" w:space="0" w:color="auto"/>
                    <w:bottom w:val="none" w:sz="0" w:space="0" w:color="auto"/>
                    <w:right w:val="none" w:sz="0" w:space="0" w:color="auto"/>
                  </w:divBdr>
                  <w:divsChild>
                    <w:div w:id="20722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8237">
              <w:marLeft w:val="0"/>
              <w:marRight w:val="0"/>
              <w:marTop w:val="240"/>
              <w:marBottom w:val="0"/>
              <w:divBdr>
                <w:top w:val="none" w:sz="0" w:space="0" w:color="auto"/>
                <w:left w:val="none" w:sz="0" w:space="0" w:color="auto"/>
                <w:bottom w:val="none" w:sz="0" w:space="0" w:color="auto"/>
                <w:right w:val="none" w:sz="0" w:space="0" w:color="auto"/>
              </w:divBdr>
              <w:divsChild>
                <w:div w:id="1973826532">
                  <w:marLeft w:val="0"/>
                  <w:marRight w:val="0"/>
                  <w:marTop w:val="0"/>
                  <w:marBottom w:val="0"/>
                  <w:divBdr>
                    <w:top w:val="none" w:sz="0" w:space="0" w:color="auto"/>
                    <w:left w:val="none" w:sz="0" w:space="0" w:color="auto"/>
                    <w:bottom w:val="none" w:sz="0" w:space="0" w:color="auto"/>
                    <w:right w:val="none" w:sz="0" w:space="0" w:color="auto"/>
                  </w:divBdr>
                  <w:divsChild>
                    <w:div w:id="1827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760">
              <w:marLeft w:val="0"/>
              <w:marRight w:val="0"/>
              <w:marTop w:val="240"/>
              <w:marBottom w:val="0"/>
              <w:divBdr>
                <w:top w:val="none" w:sz="0" w:space="0" w:color="auto"/>
                <w:left w:val="none" w:sz="0" w:space="0" w:color="auto"/>
                <w:bottom w:val="none" w:sz="0" w:space="0" w:color="auto"/>
                <w:right w:val="none" w:sz="0" w:space="0" w:color="auto"/>
              </w:divBdr>
              <w:divsChild>
                <w:div w:id="1614705005">
                  <w:marLeft w:val="0"/>
                  <w:marRight w:val="0"/>
                  <w:marTop w:val="0"/>
                  <w:marBottom w:val="0"/>
                  <w:divBdr>
                    <w:top w:val="none" w:sz="0" w:space="0" w:color="auto"/>
                    <w:left w:val="none" w:sz="0" w:space="0" w:color="auto"/>
                    <w:bottom w:val="none" w:sz="0" w:space="0" w:color="auto"/>
                    <w:right w:val="none" w:sz="0" w:space="0" w:color="auto"/>
                  </w:divBdr>
                  <w:divsChild>
                    <w:div w:id="163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340">
              <w:marLeft w:val="0"/>
              <w:marRight w:val="0"/>
              <w:marTop w:val="240"/>
              <w:marBottom w:val="0"/>
              <w:divBdr>
                <w:top w:val="none" w:sz="0" w:space="0" w:color="auto"/>
                <w:left w:val="none" w:sz="0" w:space="0" w:color="auto"/>
                <w:bottom w:val="none" w:sz="0" w:space="0" w:color="auto"/>
                <w:right w:val="none" w:sz="0" w:space="0" w:color="auto"/>
              </w:divBdr>
              <w:divsChild>
                <w:div w:id="628901891">
                  <w:marLeft w:val="0"/>
                  <w:marRight w:val="0"/>
                  <w:marTop w:val="0"/>
                  <w:marBottom w:val="0"/>
                  <w:divBdr>
                    <w:top w:val="none" w:sz="0" w:space="0" w:color="auto"/>
                    <w:left w:val="none" w:sz="0" w:space="0" w:color="auto"/>
                    <w:bottom w:val="none" w:sz="0" w:space="0" w:color="auto"/>
                    <w:right w:val="none" w:sz="0" w:space="0" w:color="auto"/>
                  </w:divBdr>
                  <w:divsChild>
                    <w:div w:id="413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623">
              <w:marLeft w:val="0"/>
              <w:marRight w:val="0"/>
              <w:marTop w:val="240"/>
              <w:marBottom w:val="0"/>
              <w:divBdr>
                <w:top w:val="none" w:sz="0" w:space="0" w:color="auto"/>
                <w:left w:val="none" w:sz="0" w:space="0" w:color="auto"/>
                <w:bottom w:val="none" w:sz="0" w:space="0" w:color="auto"/>
                <w:right w:val="none" w:sz="0" w:space="0" w:color="auto"/>
              </w:divBdr>
              <w:divsChild>
                <w:div w:id="753208532">
                  <w:marLeft w:val="0"/>
                  <w:marRight w:val="0"/>
                  <w:marTop w:val="0"/>
                  <w:marBottom w:val="0"/>
                  <w:divBdr>
                    <w:top w:val="none" w:sz="0" w:space="0" w:color="auto"/>
                    <w:left w:val="none" w:sz="0" w:space="0" w:color="auto"/>
                    <w:bottom w:val="none" w:sz="0" w:space="0" w:color="auto"/>
                    <w:right w:val="none" w:sz="0" w:space="0" w:color="auto"/>
                  </w:divBdr>
                  <w:divsChild>
                    <w:div w:id="201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9730">
              <w:marLeft w:val="0"/>
              <w:marRight w:val="0"/>
              <w:marTop w:val="240"/>
              <w:marBottom w:val="0"/>
              <w:divBdr>
                <w:top w:val="none" w:sz="0" w:space="0" w:color="auto"/>
                <w:left w:val="none" w:sz="0" w:space="0" w:color="auto"/>
                <w:bottom w:val="none" w:sz="0" w:space="0" w:color="auto"/>
                <w:right w:val="none" w:sz="0" w:space="0" w:color="auto"/>
              </w:divBdr>
              <w:divsChild>
                <w:div w:id="713431609">
                  <w:marLeft w:val="0"/>
                  <w:marRight w:val="0"/>
                  <w:marTop w:val="0"/>
                  <w:marBottom w:val="0"/>
                  <w:divBdr>
                    <w:top w:val="none" w:sz="0" w:space="0" w:color="auto"/>
                    <w:left w:val="none" w:sz="0" w:space="0" w:color="auto"/>
                    <w:bottom w:val="none" w:sz="0" w:space="0" w:color="auto"/>
                    <w:right w:val="none" w:sz="0" w:space="0" w:color="auto"/>
                  </w:divBdr>
                  <w:divsChild>
                    <w:div w:id="10925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8/1292" TargetMode="External"/><Relationship Id="rId13" Type="http://schemas.openxmlformats.org/officeDocument/2006/relationships/hyperlink" Target="https://www.law.cornell.edu/uscode/text/26/10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andcrime.com/opinion/gaming-out-the-two-major-paths-forward-after-judge-grants-trumps-request-for-a-special-master-in-mar-a-lago-case/" TargetMode="External"/><Relationship Id="rId12" Type="http://schemas.openxmlformats.org/officeDocument/2006/relationships/hyperlink" Target="https://www.congress.gov/117/plaws/publ2/PLAW-117publ2.pdf" TargetMode="External"/><Relationship Id="rId17" Type="http://schemas.openxmlformats.org/officeDocument/2006/relationships/hyperlink" Target="https://en.wikipedia.org/wiki/Drug_injection" TargetMode="External"/><Relationship Id="rId2" Type="http://schemas.openxmlformats.org/officeDocument/2006/relationships/styles" Target="styles.xml"/><Relationship Id="rId16" Type="http://schemas.openxmlformats.org/officeDocument/2006/relationships/hyperlink" Target="https://en.wikipedia.org/wiki/HI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hr.com/article/news/education/indiana-will-tax-loan-forgiveness-similar-to-other-states/531-7533db3c-f43d-459a-b639-6f5779eb25b7" TargetMode="External"/><Relationship Id="rId5" Type="http://schemas.openxmlformats.org/officeDocument/2006/relationships/footnotes" Target="footnotes.xml"/><Relationship Id="rId15" Type="http://schemas.openxmlformats.org/officeDocument/2006/relationships/hyperlink" Target="https://en.wikipedia.org/wiki/Pre-exposure_prophylaxis" TargetMode="External"/><Relationship Id="rId10" Type="http://schemas.openxmlformats.org/officeDocument/2006/relationships/hyperlink" Target="https://www.law.cornell.edu/uscode/text/28/1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andcrime.com/opinion/gaming-out-the-two-major-paths-forward-after-judge-grants-trumps-request-for-a-special-master-in-mar-a-lago-case/" TargetMode="External"/><Relationship Id="rId14" Type="http://schemas.openxmlformats.org/officeDocument/2006/relationships/hyperlink" Target="https://www.law.cornell.edu/uscode/text/42/300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4</cp:revision>
  <dcterms:created xsi:type="dcterms:W3CDTF">2022-09-08T18:46:00Z</dcterms:created>
  <dcterms:modified xsi:type="dcterms:W3CDTF">2022-09-08T20:03:00Z</dcterms:modified>
</cp:coreProperties>
</file>