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(Important) Precautions when using next-generation character cards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There is one plug-in required when using next-generation character cards, so please prepare in advance. Please note that character cards cannot be used normally if the plug-in is not installed.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The relevant plugins are: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[aquan] toon_nose_head V1 aquan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Please be sure to install the above plug-in before using our work.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In addition, our work requires a MOD environment, so please prepare the MOD environment in advance.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If you are a beginner, you can introduce the MOD environment relatively easily by installing [HF Patch for Honey Select 2].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[HF Patch for Honey Select 2] is recommended to be the latest version.</w:t>
      </w:r>
    </w:p>
    <w:p>
      <w:pPr>
        <w:rPr>
          <w:rFonts w:hint="default"/>
        </w:rPr>
      </w:pPr>
      <w:bookmarkStart w:id="0" w:name="_GoBack"/>
    </w:p>
    <w:bookmarkEnd w:id="0"/>
    <w:p>
      <w:pPr>
        <w:rPr>
          <w:rFonts w:hint="default"/>
        </w:rPr>
      </w:pPr>
    </w:p>
    <w:p>
      <w:r>
        <w:rPr>
          <w:rFonts w:hint="default"/>
        </w:rPr>
        <w:t>Due to the terms of the agreement, we cannot accept questions related to the introduction of the MOD environment. Please understand this point.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00466"/>
  </w:rsids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DUDE2019</dc:creator>
  <cp:lastModifiedBy>DUDE2019</cp:lastModifiedBy>
  <dcterms:modified xsi:type="dcterms:W3CDTF">2022-09-02T04:24:40Z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